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EDD2" w14:textId="6A621B52" w:rsidR="00D24887" w:rsidRPr="00D24887" w:rsidRDefault="00E95FC4" w:rsidP="002D2071">
      <w:pPr>
        <w:pStyle w:val="Overskrift1"/>
        <w:numPr>
          <w:ilvl w:val="0"/>
          <w:numId w:val="0"/>
        </w:numPr>
        <w:ind w:left="432" w:hanging="432"/>
        <w:jc w:val="both"/>
      </w:pPr>
      <w:r w:rsidRPr="00502A47">
        <w:t>Resum</w:t>
      </w:r>
      <w:r w:rsidR="00144163">
        <w:t>É</w:t>
      </w:r>
      <w:r w:rsidR="004844DB">
        <w:br/>
      </w:r>
    </w:p>
    <w:p w14:paraId="4C3786B2" w14:textId="03121663" w:rsidR="007C1442" w:rsidRPr="0089539C" w:rsidRDefault="007C1442" w:rsidP="007C1442">
      <w:pPr>
        <w:pStyle w:val="Resum"/>
        <w:jc w:val="both"/>
      </w:pPr>
      <w:r w:rsidRPr="0089539C">
        <w:t xml:space="preserve">Notatet beregner baggrunden for kilderne til fremgangen i disponibel indkomst for de 40 pct. laveste indkomster over en 100-årig periode. I de hundrede år frem til 2019 blev denne gruppes indkomster mere end 8-doblet. </w:t>
      </w:r>
    </w:p>
    <w:p w14:paraId="2744BAC2" w14:textId="77777777" w:rsidR="007C1442" w:rsidRPr="0089539C" w:rsidRDefault="007C1442" w:rsidP="007C1442">
      <w:pPr>
        <w:pStyle w:val="Resum"/>
        <w:jc w:val="both"/>
      </w:pPr>
    </w:p>
    <w:p w14:paraId="6EB377E7" w14:textId="09373DA6" w:rsidR="007C1442" w:rsidRPr="0089539C" w:rsidRDefault="007C1442" w:rsidP="007C1442">
      <w:pPr>
        <w:pStyle w:val="Resum"/>
        <w:jc w:val="both"/>
      </w:pPr>
      <w:r w:rsidRPr="0089539C">
        <w:t xml:space="preserve">Af den samlede indkomstfremgang skønnes 9,2 pct. at stamme fra en større indkomstandel, mens den økonomiske vækst direkte og indirekte tegnede sig for 90,8 pct. Tillægges det offentlige forbrug til de disponible indkomster, stod ændret fordeling for 7,1 pct. af indkomstfremgangen, mens økonomisk vækst tegnede sig for 92,2 pct. </w:t>
      </w:r>
    </w:p>
    <w:p w14:paraId="760BC70F" w14:textId="77777777" w:rsidR="007C1442" w:rsidRPr="0089539C" w:rsidRDefault="007C1442" w:rsidP="007C1442">
      <w:pPr>
        <w:pStyle w:val="Resum"/>
        <w:jc w:val="both"/>
      </w:pPr>
    </w:p>
    <w:p w14:paraId="3CE08B40" w14:textId="77777777" w:rsidR="007C1442" w:rsidRPr="0089539C" w:rsidRDefault="007C1442" w:rsidP="007C1442">
      <w:pPr>
        <w:pStyle w:val="Resum"/>
        <w:jc w:val="both"/>
      </w:pPr>
      <w:r w:rsidRPr="0089539C">
        <w:t>Økonomisk vækst er altså uden sammenligning den væsentligste årsag til stigningen i levestandard for lavindkomster, og øget omfordeling spiller kun en meget begrænset rolle.</w:t>
      </w:r>
    </w:p>
    <w:p w14:paraId="3416CC6C" w14:textId="373FF087" w:rsidR="00AE7932" w:rsidRPr="007C1442" w:rsidRDefault="00AE7932" w:rsidP="00AE27DC">
      <w:pPr>
        <w:pStyle w:val="Resum"/>
        <w:jc w:val="both"/>
        <w:rPr>
          <w:i w:val="0"/>
          <w:iCs/>
        </w:rPr>
      </w:pPr>
    </w:p>
    <w:p w14:paraId="5283D6BE" w14:textId="1EC38D20" w:rsidR="00DA4CD8" w:rsidRPr="00801B11" w:rsidRDefault="004C0FD8" w:rsidP="00FC02A8">
      <w:pPr>
        <w:jc w:val="both"/>
        <w:rPr>
          <w:rFonts w:ascii="Bebas Neue" w:eastAsiaTheme="majorEastAsia" w:hAnsi="Bebas Neue" w:cstheme="majorBidi"/>
          <w:bCs/>
          <w:color w:val="07385E"/>
          <w:sz w:val="36"/>
          <w:szCs w:val="36"/>
        </w:rPr>
      </w:pPr>
      <w:r>
        <w:rPr>
          <w:rFonts w:ascii="Bebas Neue" w:eastAsiaTheme="majorEastAsia" w:hAnsi="Bebas Neue" w:cstheme="majorBidi"/>
          <w:bCs/>
          <w:color w:val="07385E"/>
          <w:sz w:val="36"/>
          <w:szCs w:val="36"/>
        </w:rPr>
        <w:t>1</w:t>
      </w:r>
      <w:r w:rsidR="00367A6C">
        <w:rPr>
          <w:rFonts w:ascii="Bebas Neue" w:eastAsiaTheme="majorEastAsia" w:hAnsi="Bebas Neue" w:cstheme="majorBidi"/>
          <w:bCs/>
          <w:color w:val="07385E"/>
          <w:sz w:val="36"/>
          <w:szCs w:val="36"/>
        </w:rPr>
        <w:t>.</w:t>
      </w:r>
      <w:r w:rsidR="00133D24">
        <w:rPr>
          <w:rFonts w:ascii="Bebas Neue" w:eastAsiaTheme="majorEastAsia" w:hAnsi="Bebas Neue" w:cstheme="majorBidi"/>
          <w:bCs/>
          <w:color w:val="07385E"/>
          <w:sz w:val="36"/>
          <w:szCs w:val="36"/>
        </w:rPr>
        <w:t xml:space="preserve"> </w:t>
      </w:r>
      <w:r w:rsidR="00C27CA8">
        <w:rPr>
          <w:rFonts w:ascii="Bebas Neue" w:eastAsiaTheme="majorEastAsia" w:hAnsi="Bebas Neue" w:cstheme="majorBidi"/>
          <w:bCs/>
          <w:color w:val="07385E"/>
          <w:sz w:val="36"/>
          <w:szCs w:val="36"/>
        </w:rPr>
        <w:t>In</w:t>
      </w:r>
      <w:r w:rsidR="00C343FF">
        <w:rPr>
          <w:rFonts w:ascii="Bebas Neue" w:eastAsiaTheme="majorEastAsia" w:hAnsi="Bebas Neue" w:cstheme="majorBidi"/>
          <w:bCs/>
          <w:color w:val="07385E"/>
          <w:sz w:val="36"/>
          <w:szCs w:val="36"/>
        </w:rPr>
        <w:t>dkomststigningen gennem 100 år fordelt på vækst og fordeling</w:t>
      </w:r>
      <w:r w:rsidR="00623241" w:rsidRPr="00801B11">
        <w:rPr>
          <w:rFonts w:ascii="Bebas Neue" w:eastAsiaTheme="majorEastAsia" w:hAnsi="Bebas Neue" w:cstheme="majorBidi"/>
          <w:bCs/>
          <w:color w:val="07385E"/>
          <w:sz w:val="36"/>
          <w:szCs w:val="36"/>
        </w:rPr>
        <w:t>.</w:t>
      </w:r>
    </w:p>
    <w:p w14:paraId="29A96AD7" w14:textId="637495F7" w:rsidR="00623241" w:rsidRDefault="00623241" w:rsidP="00FC02A8">
      <w:pPr>
        <w:jc w:val="both"/>
        <w:rPr>
          <w:bCs/>
        </w:rPr>
      </w:pPr>
    </w:p>
    <w:p w14:paraId="1EBFF860" w14:textId="77777777" w:rsidR="00EB5A42" w:rsidRDefault="004B7950" w:rsidP="004C0FD8">
      <w:pPr>
        <w:jc w:val="both"/>
        <w:rPr>
          <w:bCs/>
        </w:rPr>
      </w:pPr>
      <w:r>
        <w:rPr>
          <w:bCs/>
        </w:rPr>
        <w:t xml:space="preserve">For </w:t>
      </w:r>
      <w:r w:rsidR="00F16768">
        <w:rPr>
          <w:bCs/>
        </w:rPr>
        <w:t>det danske samfund under ét</w:t>
      </w:r>
      <w:r w:rsidR="00E92CA6">
        <w:rPr>
          <w:bCs/>
        </w:rPr>
        <w:t xml:space="preserve"> er stigningen i velstanden over tid bestemt af den økonomiske vækst. </w:t>
      </w:r>
      <w:r w:rsidR="002B12B7">
        <w:rPr>
          <w:bCs/>
        </w:rPr>
        <w:t xml:space="preserve">For grupper i samfundet </w:t>
      </w:r>
      <w:r w:rsidR="004B7EAF">
        <w:rPr>
          <w:bCs/>
        </w:rPr>
        <w:t xml:space="preserve">påvirkes velstanden imidlertid ikke blot af den økonomiske vækst, men ligeledes af </w:t>
      </w:r>
      <w:r w:rsidR="00D64E6D">
        <w:rPr>
          <w:bCs/>
        </w:rPr>
        <w:t xml:space="preserve">fordelingspolitikken. </w:t>
      </w:r>
      <w:r w:rsidR="0095503D">
        <w:rPr>
          <w:bCs/>
        </w:rPr>
        <w:t xml:space="preserve">Især på </w:t>
      </w:r>
      <w:r w:rsidR="00450E9E">
        <w:rPr>
          <w:bCs/>
        </w:rPr>
        <w:t xml:space="preserve">kort sigt </w:t>
      </w:r>
      <w:r w:rsidR="00FC1922">
        <w:rPr>
          <w:bCs/>
        </w:rPr>
        <w:t xml:space="preserve">kan </w:t>
      </w:r>
      <w:r w:rsidR="000104CE">
        <w:rPr>
          <w:bCs/>
        </w:rPr>
        <w:t>skærpet</w:t>
      </w:r>
      <w:r w:rsidR="00FC1922">
        <w:rPr>
          <w:bCs/>
        </w:rPr>
        <w:t xml:space="preserve"> fordelingspolitik spille en stor rolle. </w:t>
      </w:r>
      <w:r w:rsidR="00392098">
        <w:rPr>
          <w:bCs/>
        </w:rPr>
        <w:t>Der</w:t>
      </w:r>
      <w:r w:rsidR="004B49FA">
        <w:rPr>
          <w:bCs/>
        </w:rPr>
        <w:t xml:space="preserve">imod </w:t>
      </w:r>
      <w:r w:rsidR="008165EE">
        <w:rPr>
          <w:bCs/>
        </w:rPr>
        <w:t xml:space="preserve">vil væksten spille en større rolle over en længere tidsperiode. </w:t>
      </w:r>
    </w:p>
    <w:p w14:paraId="63120151" w14:textId="77777777" w:rsidR="00EB5A42" w:rsidRDefault="00EB5A42" w:rsidP="004C0FD8">
      <w:pPr>
        <w:jc w:val="both"/>
        <w:rPr>
          <w:bCs/>
        </w:rPr>
      </w:pPr>
    </w:p>
    <w:p w14:paraId="195067F2" w14:textId="6B9F52AE" w:rsidR="00D902A8" w:rsidRDefault="003E008D" w:rsidP="004C0FD8">
      <w:pPr>
        <w:jc w:val="both"/>
        <w:rPr>
          <w:bCs/>
        </w:rPr>
      </w:pPr>
      <w:r>
        <w:rPr>
          <w:bCs/>
        </w:rPr>
        <w:t>Fordelingspolitik kan dog kun drive indkomstvækst, så længe omfordelingen</w:t>
      </w:r>
      <w:r w:rsidR="000C672E">
        <w:rPr>
          <w:bCs/>
        </w:rPr>
        <w:t xml:space="preserve"> </w:t>
      </w:r>
      <w:r w:rsidR="00EC218A">
        <w:rPr>
          <w:bCs/>
        </w:rPr>
        <w:t>fortløbende</w:t>
      </w:r>
      <w:r>
        <w:rPr>
          <w:bCs/>
        </w:rPr>
        <w:t xml:space="preserve"> skærpes</w:t>
      </w:r>
      <w:r w:rsidR="00B22B66">
        <w:rPr>
          <w:bCs/>
        </w:rPr>
        <w:t>, men</w:t>
      </w:r>
      <w:r w:rsidR="008E1522">
        <w:rPr>
          <w:bCs/>
        </w:rPr>
        <w:t>s</w:t>
      </w:r>
      <w:r w:rsidR="00EB5A42">
        <w:rPr>
          <w:bCs/>
        </w:rPr>
        <w:t xml:space="preserve"> </w:t>
      </w:r>
      <w:r w:rsidR="00EC218A">
        <w:rPr>
          <w:bCs/>
        </w:rPr>
        <w:t>kontinuerlig</w:t>
      </w:r>
      <w:r w:rsidR="00B22B66">
        <w:rPr>
          <w:bCs/>
        </w:rPr>
        <w:t xml:space="preserve"> økonomisk vækst </w:t>
      </w:r>
      <w:r w:rsidR="00EB5A42">
        <w:rPr>
          <w:bCs/>
        </w:rPr>
        <w:t>vil medføre en stadig stigning i levestandarden</w:t>
      </w:r>
      <w:r>
        <w:rPr>
          <w:bCs/>
        </w:rPr>
        <w:t xml:space="preserve">. </w:t>
      </w:r>
    </w:p>
    <w:p w14:paraId="49E9E2E0" w14:textId="2CB19001" w:rsidR="008D59E6" w:rsidRDefault="008D59E6" w:rsidP="004C0FD8">
      <w:pPr>
        <w:jc w:val="both"/>
        <w:rPr>
          <w:bCs/>
        </w:rPr>
      </w:pPr>
    </w:p>
    <w:p w14:paraId="32EE4E08" w14:textId="79992315" w:rsidR="008D59E6" w:rsidRDefault="008D59E6" w:rsidP="004C0FD8">
      <w:pPr>
        <w:jc w:val="both"/>
        <w:rPr>
          <w:bCs/>
        </w:rPr>
      </w:pPr>
      <w:r>
        <w:rPr>
          <w:bCs/>
        </w:rPr>
        <w:t>I dette</w:t>
      </w:r>
      <w:r w:rsidR="006E4222">
        <w:rPr>
          <w:bCs/>
        </w:rPr>
        <w:t xml:space="preserve"> notat</w:t>
      </w:r>
      <w:r>
        <w:rPr>
          <w:bCs/>
        </w:rPr>
        <w:t xml:space="preserve"> </w:t>
      </w:r>
      <w:r w:rsidR="003C1C34">
        <w:rPr>
          <w:bCs/>
        </w:rPr>
        <w:t>forsøges det at indkredse betydningen af</w:t>
      </w:r>
      <w:r w:rsidR="000F1EB0">
        <w:rPr>
          <w:bCs/>
        </w:rPr>
        <w:t xml:space="preserve"> henholdsvis</w:t>
      </w:r>
      <w:r w:rsidR="003C1C34">
        <w:rPr>
          <w:bCs/>
        </w:rPr>
        <w:t xml:space="preserve"> </w:t>
      </w:r>
      <w:r w:rsidR="000F1EB0">
        <w:rPr>
          <w:bCs/>
        </w:rPr>
        <w:t xml:space="preserve">fordelingspolitik og </w:t>
      </w:r>
      <w:r w:rsidR="003C1C34">
        <w:rPr>
          <w:bCs/>
        </w:rPr>
        <w:t xml:space="preserve">økonomisk vækst for levestandarden for de </w:t>
      </w:r>
      <w:r w:rsidR="00C0001E">
        <w:rPr>
          <w:bCs/>
        </w:rPr>
        <w:t>laveste indkomster</w:t>
      </w:r>
      <w:r w:rsidR="00D24FE3">
        <w:rPr>
          <w:rStyle w:val="Fodnotehenvisning"/>
          <w:bCs/>
        </w:rPr>
        <w:footnoteReference w:id="2"/>
      </w:r>
      <w:r w:rsidR="00C0001E">
        <w:rPr>
          <w:bCs/>
        </w:rPr>
        <w:t xml:space="preserve"> set i et 100 års-perspektiv. </w:t>
      </w:r>
      <w:r w:rsidR="006B0F4C">
        <w:rPr>
          <w:bCs/>
        </w:rPr>
        <w:t xml:space="preserve">Danmark har ændret sig markant i løbet af perioden i begge henseender. </w:t>
      </w:r>
    </w:p>
    <w:p w14:paraId="55564848" w14:textId="6A1FC506" w:rsidR="002025C1" w:rsidRDefault="002025C1" w:rsidP="004C0FD8">
      <w:pPr>
        <w:jc w:val="both"/>
        <w:rPr>
          <w:bCs/>
        </w:rPr>
      </w:pPr>
    </w:p>
    <w:p w14:paraId="11C8749E" w14:textId="017712AD" w:rsidR="004C0FD8" w:rsidRDefault="002025C1" w:rsidP="00FC02A8">
      <w:pPr>
        <w:jc w:val="both"/>
        <w:rPr>
          <w:bCs/>
        </w:rPr>
      </w:pPr>
      <w:r>
        <w:rPr>
          <w:bCs/>
        </w:rPr>
        <w:t xml:space="preserve">For det første er der indført </w:t>
      </w:r>
      <w:r w:rsidR="006066F5">
        <w:rPr>
          <w:bCs/>
        </w:rPr>
        <w:t xml:space="preserve">en omfattende omfordeling. </w:t>
      </w:r>
      <w:r w:rsidR="00543568">
        <w:rPr>
          <w:bCs/>
        </w:rPr>
        <w:t xml:space="preserve">Det illustreres af, at skattetrykket </w:t>
      </w:r>
      <w:r w:rsidR="00AD5B98">
        <w:rPr>
          <w:bCs/>
        </w:rPr>
        <w:t>for 100 år siden lå under 10 pct. af BNP (</w:t>
      </w:r>
      <w:r w:rsidR="00AD5B98">
        <w:t>bortse</w:t>
      </w:r>
      <w:r w:rsidR="5B5D4F9A">
        <w:t>t</w:t>
      </w:r>
      <w:r w:rsidR="00AD5B98">
        <w:rPr>
          <w:bCs/>
        </w:rPr>
        <w:t xml:space="preserve"> fra kortvarige stigninger som følge af 1. verdenskrig)</w:t>
      </w:r>
      <w:r w:rsidR="004D647A">
        <w:rPr>
          <w:bCs/>
        </w:rPr>
        <w:t xml:space="preserve"> mod </w:t>
      </w:r>
      <w:r w:rsidR="00860828">
        <w:rPr>
          <w:bCs/>
        </w:rPr>
        <w:t xml:space="preserve">46,6 pct. i </w:t>
      </w:r>
      <w:r w:rsidR="00B97802">
        <w:rPr>
          <w:bCs/>
        </w:rPr>
        <w:t xml:space="preserve">2019. </w:t>
      </w:r>
      <w:r w:rsidR="005C1839">
        <w:rPr>
          <w:bCs/>
        </w:rPr>
        <w:t xml:space="preserve">Skattetrykket steg navnlig i </w:t>
      </w:r>
      <w:r w:rsidR="00E54C3D">
        <w:rPr>
          <w:bCs/>
        </w:rPr>
        <w:t>1960</w:t>
      </w:r>
      <w:r w:rsidR="00472E48">
        <w:rPr>
          <w:bCs/>
        </w:rPr>
        <w:t>’</w:t>
      </w:r>
      <w:r w:rsidR="00E54C3D">
        <w:rPr>
          <w:bCs/>
        </w:rPr>
        <w:t>erne, hvor den kraftigste udbygning af den danske velfærdsstat fandt sted.</w:t>
      </w:r>
    </w:p>
    <w:p w14:paraId="1BFDA540" w14:textId="6CB940D2" w:rsidR="00E54C3D" w:rsidRDefault="00E54C3D" w:rsidP="00FC02A8">
      <w:pPr>
        <w:jc w:val="both"/>
        <w:rPr>
          <w:bCs/>
        </w:rPr>
      </w:pPr>
    </w:p>
    <w:p w14:paraId="19F89773" w14:textId="3A46C292" w:rsidR="00E54C3D" w:rsidRDefault="00E54C3D" w:rsidP="00FC02A8">
      <w:pPr>
        <w:jc w:val="both"/>
        <w:rPr>
          <w:bCs/>
        </w:rPr>
      </w:pPr>
      <w:r>
        <w:rPr>
          <w:bCs/>
        </w:rPr>
        <w:t xml:space="preserve">For det andet </w:t>
      </w:r>
      <w:r w:rsidR="00C707F6">
        <w:rPr>
          <w:bCs/>
        </w:rPr>
        <w:t>er økonomien vokset betragteligt i 100</w:t>
      </w:r>
      <w:r w:rsidR="003F6169">
        <w:rPr>
          <w:bCs/>
        </w:rPr>
        <w:t>-</w:t>
      </w:r>
      <w:r w:rsidR="00C707F6">
        <w:rPr>
          <w:bCs/>
        </w:rPr>
        <w:t xml:space="preserve">årsperioden. </w:t>
      </w:r>
      <w:r w:rsidR="0039198D">
        <w:rPr>
          <w:bCs/>
        </w:rPr>
        <w:t xml:space="preserve">Det fremgår af </w:t>
      </w:r>
      <w:r w:rsidR="00C42064">
        <w:rPr>
          <w:bCs/>
        </w:rPr>
        <w:t>figur 1 nedenfor</w:t>
      </w:r>
      <w:r w:rsidR="0039198D">
        <w:rPr>
          <w:bCs/>
        </w:rPr>
        <w:t xml:space="preserve">, der viser </w:t>
      </w:r>
      <w:r w:rsidR="00D57055">
        <w:rPr>
          <w:bCs/>
        </w:rPr>
        <w:t xml:space="preserve">væksten i det samlede forbrug per indbygger. </w:t>
      </w:r>
    </w:p>
    <w:p w14:paraId="0091AE2F" w14:textId="6FD3ECFB" w:rsidR="00E270AF" w:rsidRDefault="00E270AF" w:rsidP="00FC02A8">
      <w:pPr>
        <w:jc w:val="both"/>
        <w:rPr>
          <w:bCs/>
        </w:rPr>
      </w:pPr>
    </w:p>
    <w:tbl>
      <w:tblPr>
        <w:tblStyle w:val="Tabel-Gitter"/>
        <w:tblW w:w="0" w:type="auto"/>
        <w:tblLayout w:type="fixed"/>
        <w:tblLook w:val="04A0" w:firstRow="1" w:lastRow="0" w:firstColumn="1" w:lastColumn="0" w:noHBand="0" w:noVBand="1"/>
      </w:tblPr>
      <w:tblGrid>
        <w:gridCol w:w="8101"/>
      </w:tblGrid>
      <w:tr w:rsidR="00E270AF" w14:paraId="1F24A176" w14:textId="77777777" w:rsidTr="00647A26">
        <w:trPr>
          <w:trHeight w:val="303"/>
        </w:trPr>
        <w:tc>
          <w:tcPr>
            <w:tcW w:w="8101" w:type="dxa"/>
            <w:shd w:val="clear" w:color="auto" w:fill="004874"/>
          </w:tcPr>
          <w:p w14:paraId="058A211A" w14:textId="114FD187" w:rsidR="00E270AF" w:rsidRDefault="00E270AF" w:rsidP="00E270AF">
            <w:pPr>
              <w:jc w:val="both"/>
              <w:rPr>
                <w:bCs/>
              </w:rPr>
            </w:pPr>
            <w:bookmarkStart w:id="0" w:name="_Hlk89081515"/>
            <w:r>
              <w:rPr>
                <w:bCs/>
              </w:rPr>
              <w:t>Figur 1. Forbrug per indbygger gennem 100 år.</w:t>
            </w:r>
          </w:p>
        </w:tc>
      </w:tr>
      <w:tr w:rsidR="00E270AF" w14:paraId="19AD3256" w14:textId="77777777" w:rsidTr="00647A26">
        <w:trPr>
          <w:trHeight w:val="5651"/>
        </w:trPr>
        <w:tc>
          <w:tcPr>
            <w:tcW w:w="8101" w:type="dxa"/>
            <w:tcBorders>
              <w:bottom w:val="nil"/>
            </w:tcBorders>
            <w:shd w:val="clear" w:color="auto" w:fill="FFFFFF" w:themeFill="background1"/>
          </w:tcPr>
          <w:p w14:paraId="5B52FC7D" w14:textId="5636C5F1" w:rsidR="00E270AF" w:rsidRDefault="00362223" w:rsidP="00FC02A8">
            <w:pPr>
              <w:jc w:val="both"/>
              <w:rPr>
                <w:bCs/>
              </w:rPr>
            </w:pPr>
            <w:r w:rsidRPr="00E270AF">
              <w:rPr>
                <w:noProof/>
                <w:color w:val="004874"/>
              </w:rPr>
              <w:drawing>
                <wp:inline distT="0" distB="0" distL="0" distR="0" wp14:anchorId="0E54A4F1" wp14:editId="10F094B6">
                  <wp:extent cx="4891177" cy="3536830"/>
                  <wp:effectExtent l="0" t="0" r="5080" b="6985"/>
                  <wp:docPr id="6" name="Diagram 6">
                    <a:extLst xmlns:a="http://schemas.openxmlformats.org/drawingml/2006/main">
                      <a:ext uri="{FF2B5EF4-FFF2-40B4-BE49-F238E27FC236}">
                        <a16:creationId xmlns:a16="http://schemas.microsoft.com/office/drawing/2014/main" id="{10C49DC0-F7C3-404F-898F-EF67BB4088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270AF" w14:paraId="15C63733" w14:textId="77777777" w:rsidTr="00647A26">
        <w:trPr>
          <w:trHeight w:val="208"/>
        </w:trPr>
        <w:tc>
          <w:tcPr>
            <w:tcW w:w="8101" w:type="dxa"/>
            <w:tcBorders>
              <w:top w:val="nil"/>
            </w:tcBorders>
            <w:shd w:val="clear" w:color="auto" w:fill="FFFFFF" w:themeFill="background1"/>
          </w:tcPr>
          <w:p w14:paraId="2470C870" w14:textId="177DD50C" w:rsidR="00E270AF" w:rsidRPr="003A1C41" w:rsidRDefault="003E6DC6" w:rsidP="003E6DC6">
            <w:pPr>
              <w:tabs>
                <w:tab w:val="left" w:pos="5937"/>
              </w:tabs>
              <w:jc w:val="both"/>
              <w:rPr>
                <w:rFonts w:ascii="Raleway" w:hAnsi="Raleway"/>
                <w:bCs/>
                <w:i/>
                <w:iCs/>
                <w:color w:val="323435" w:themeColor="text1"/>
                <w:sz w:val="16"/>
                <w:szCs w:val="16"/>
              </w:rPr>
            </w:pPr>
            <w:r w:rsidRPr="003A1C41">
              <w:rPr>
                <w:rFonts w:ascii="Raleway" w:hAnsi="Raleway"/>
                <w:bCs/>
                <w:i/>
                <w:iCs/>
                <w:color w:val="323435" w:themeColor="text1"/>
                <w:sz w:val="16"/>
                <w:szCs w:val="16"/>
              </w:rPr>
              <w:t>Kilde:</w:t>
            </w:r>
            <w:r w:rsidR="00B60658" w:rsidRPr="003A1C41">
              <w:rPr>
                <w:rFonts w:ascii="Raleway" w:hAnsi="Raleway"/>
                <w:bCs/>
                <w:color w:val="323435" w:themeColor="text1"/>
                <w:sz w:val="16"/>
                <w:szCs w:val="16"/>
              </w:rPr>
              <w:t xml:space="preserve"> </w:t>
            </w:r>
            <w:r w:rsidR="003A1C41" w:rsidRPr="003A1C41">
              <w:rPr>
                <w:rFonts w:ascii="Raleway" w:hAnsi="Raleway"/>
                <w:bCs/>
                <w:i/>
                <w:iCs/>
                <w:color w:val="323435" w:themeColor="text1"/>
                <w:sz w:val="16"/>
                <w:szCs w:val="16"/>
              </w:rPr>
              <w:t>Egne beregninger</w:t>
            </w:r>
            <w:r w:rsidRPr="003A1C41">
              <w:rPr>
                <w:rFonts w:ascii="Raleway" w:hAnsi="Raleway"/>
                <w:bCs/>
                <w:i/>
                <w:iCs/>
                <w:color w:val="323435" w:themeColor="text1"/>
                <w:sz w:val="16"/>
                <w:szCs w:val="16"/>
              </w:rPr>
              <w:tab/>
            </w:r>
          </w:p>
        </w:tc>
      </w:tr>
      <w:bookmarkEnd w:id="0"/>
    </w:tbl>
    <w:p w14:paraId="303743F5" w14:textId="77777777" w:rsidR="00E270AF" w:rsidRDefault="00E270AF" w:rsidP="00FC02A8">
      <w:pPr>
        <w:jc w:val="both"/>
        <w:rPr>
          <w:bCs/>
        </w:rPr>
      </w:pPr>
    </w:p>
    <w:p w14:paraId="17F8D467" w14:textId="77777777" w:rsidR="00A04DE9" w:rsidRDefault="00A04DE9" w:rsidP="00FC02A8">
      <w:pPr>
        <w:jc w:val="both"/>
        <w:rPr>
          <w:bCs/>
        </w:rPr>
      </w:pPr>
    </w:p>
    <w:p w14:paraId="6CD2F489" w14:textId="25C1D443" w:rsidR="00832493" w:rsidRDefault="000B0B71" w:rsidP="00FC02A8">
      <w:pPr>
        <w:jc w:val="both"/>
        <w:rPr>
          <w:bCs/>
        </w:rPr>
      </w:pPr>
      <w:r>
        <w:rPr>
          <w:bCs/>
        </w:rPr>
        <w:t xml:space="preserve">Målt i </w:t>
      </w:r>
      <w:r w:rsidR="00F66802">
        <w:rPr>
          <w:bCs/>
        </w:rPr>
        <w:t xml:space="preserve">faste 2019-priser er privatforbruget </w:t>
      </w:r>
      <w:r w:rsidR="00454DA5">
        <w:rPr>
          <w:bCs/>
        </w:rPr>
        <w:t xml:space="preserve">næsten femdoblet gennem de seneste 100 år. Medregnes det </w:t>
      </w:r>
      <w:r w:rsidR="00AF1643">
        <w:rPr>
          <w:bCs/>
        </w:rPr>
        <w:t xml:space="preserve">offentligt forbrug – som er vokset langt hurtigere end privatforbruget </w:t>
      </w:r>
      <w:r w:rsidR="00443EAD">
        <w:rPr>
          <w:bCs/>
        </w:rPr>
        <w:t xml:space="preserve">i perioden efter 1960erne – er forbrugsmulighederne omtrent syvdoblet. </w:t>
      </w:r>
      <w:r w:rsidR="00673307">
        <w:rPr>
          <w:bCs/>
        </w:rPr>
        <w:t xml:space="preserve">Det er den økonomiske </w:t>
      </w:r>
      <w:r w:rsidR="00893B37">
        <w:rPr>
          <w:bCs/>
        </w:rPr>
        <w:t xml:space="preserve">vækst, som er anledningen til </w:t>
      </w:r>
      <w:r w:rsidR="00596A87">
        <w:rPr>
          <w:bCs/>
        </w:rPr>
        <w:t>dette løft i levestandarden.</w:t>
      </w:r>
    </w:p>
    <w:p w14:paraId="51E8F645" w14:textId="713C9D4A" w:rsidR="00233D01" w:rsidRDefault="00233D01" w:rsidP="00FC02A8">
      <w:pPr>
        <w:jc w:val="both"/>
        <w:rPr>
          <w:bCs/>
        </w:rPr>
      </w:pPr>
    </w:p>
    <w:p w14:paraId="3D6B131F" w14:textId="520EAD80" w:rsidR="00233D01" w:rsidRDefault="00033957" w:rsidP="00FC02A8">
      <w:pPr>
        <w:jc w:val="both"/>
        <w:rPr>
          <w:bCs/>
        </w:rPr>
      </w:pPr>
      <w:r>
        <w:rPr>
          <w:bCs/>
        </w:rPr>
        <w:t>Til</w:t>
      </w:r>
      <w:r w:rsidR="000F3CB2">
        <w:rPr>
          <w:bCs/>
        </w:rPr>
        <w:t xml:space="preserve"> at belyse den relative betydning af vækst og fordeling </w:t>
      </w:r>
      <w:r>
        <w:rPr>
          <w:bCs/>
        </w:rPr>
        <w:t xml:space="preserve">for de laveste indkomster eksisterer der er omfattende, detaljeret </w:t>
      </w:r>
      <w:r w:rsidR="00CC094C">
        <w:rPr>
          <w:bCs/>
        </w:rPr>
        <w:t>registerbaseret statistik for den nuværende indkomstfordeling</w:t>
      </w:r>
      <w:r w:rsidR="003172A5">
        <w:rPr>
          <w:bCs/>
        </w:rPr>
        <w:t xml:space="preserve"> og en ligeledes detaljeret </w:t>
      </w:r>
      <w:r w:rsidR="00DC192F">
        <w:rPr>
          <w:bCs/>
        </w:rPr>
        <w:t>nationalregnskabsstatistik</w:t>
      </w:r>
      <w:r w:rsidR="00CC094C">
        <w:rPr>
          <w:bCs/>
        </w:rPr>
        <w:t xml:space="preserve">. </w:t>
      </w:r>
      <w:r w:rsidR="00474E78">
        <w:rPr>
          <w:bCs/>
        </w:rPr>
        <w:t xml:space="preserve">Desværre er statistikdækningen </w:t>
      </w:r>
      <w:r w:rsidR="00DC192F">
        <w:rPr>
          <w:bCs/>
        </w:rPr>
        <w:t xml:space="preserve">hundrede år tilbage betydeligt mere sparsom. </w:t>
      </w:r>
      <w:r w:rsidR="00164782">
        <w:rPr>
          <w:bCs/>
        </w:rPr>
        <w:t xml:space="preserve">Desuden er billedet </w:t>
      </w:r>
      <w:r w:rsidR="005D0114">
        <w:rPr>
          <w:bCs/>
        </w:rPr>
        <w:t xml:space="preserve">for netop 100 år siden </w:t>
      </w:r>
      <w:r w:rsidR="00641609">
        <w:rPr>
          <w:bCs/>
        </w:rPr>
        <w:t xml:space="preserve">forstyrret af </w:t>
      </w:r>
      <w:r w:rsidR="00092F28">
        <w:rPr>
          <w:bCs/>
        </w:rPr>
        <w:t xml:space="preserve">Den Første Verdenskrig (1914-18), som til trods for dansk neutralitet </w:t>
      </w:r>
      <w:r w:rsidR="009C39F6">
        <w:rPr>
          <w:bCs/>
        </w:rPr>
        <w:t xml:space="preserve">også </w:t>
      </w:r>
      <w:r w:rsidR="00092F28">
        <w:rPr>
          <w:bCs/>
        </w:rPr>
        <w:t xml:space="preserve">fik store økonomiske konsekvenser herhjemme. </w:t>
      </w:r>
      <w:r w:rsidR="000D72E4">
        <w:rPr>
          <w:bCs/>
        </w:rPr>
        <w:t xml:space="preserve">Det er derfor nødvendigt at </w:t>
      </w:r>
      <w:r w:rsidR="006F2BBD">
        <w:rPr>
          <w:bCs/>
        </w:rPr>
        <w:t xml:space="preserve">foretage et skøn med udgangspunkt i </w:t>
      </w:r>
      <w:r w:rsidR="009E02CA">
        <w:rPr>
          <w:bCs/>
        </w:rPr>
        <w:t xml:space="preserve">et </w:t>
      </w:r>
      <w:r w:rsidR="00690E2F">
        <w:rPr>
          <w:bCs/>
        </w:rPr>
        <w:t xml:space="preserve">noget </w:t>
      </w:r>
      <w:r w:rsidR="009E02CA">
        <w:rPr>
          <w:bCs/>
        </w:rPr>
        <w:t>begrænset</w:t>
      </w:r>
      <w:r w:rsidR="008453D2">
        <w:rPr>
          <w:bCs/>
        </w:rPr>
        <w:t xml:space="preserve"> kildemateriale. Til gengæld er det overordnede billede så </w:t>
      </w:r>
      <w:r w:rsidR="00C86D7D">
        <w:rPr>
          <w:bCs/>
        </w:rPr>
        <w:t xml:space="preserve">klart, at det ikke påvirkes væsentligt af </w:t>
      </w:r>
      <w:r w:rsidR="00E46A3C">
        <w:rPr>
          <w:bCs/>
        </w:rPr>
        <w:t xml:space="preserve">usikkerheden. I metodeafsnittet nedenfor er nærmere redegjort for </w:t>
      </w:r>
      <w:r w:rsidR="008D595C">
        <w:rPr>
          <w:bCs/>
        </w:rPr>
        <w:t>beregningsmetoden</w:t>
      </w:r>
      <w:r w:rsidR="001363E3">
        <w:rPr>
          <w:bCs/>
        </w:rPr>
        <w:t xml:space="preserve"> og set nærmere på resultaternes robusthed.</w:t>
      </w:r>
    </w:p>
    <w:p w14:paraId="4F5583A2" w14:textId="1EA7BB24" w:rsidR="001363E3" w:rsidRDefault="001363E3" w:rsidP="00FC02A8">
      <w:pPr>
        <w:jc w:val="both"/>
        <w:rPr>
          <w:bCs/>
        </w:rPr>
      </w:pPr>
    </w:p>
    <w:p w14:paraId="6852C621" w14:textId="6A734756" w:rsidR="005B052B" w:rsidRDefault="004D3399" w:rsidP="00FC02A8">
      <w:pPr>
        <w:jc w:val="both"/>
        <w:rPr>
          <w:bCs/>
        </w:rPr>
      </w:pPr>
      <w:r>
        <w:rPr>
          <w:bCs/>
        </w:rPr>
        <w:lastRenderedPageBreak/>
        <w:t>Den historiske indkomstfordelingsstatistik vedrører familier</w:t>
      </w:r>
      <w:r w:rsidR="00615561">
        <w:rPr>
          <w:bCs/>
        </w:rPr>
        <w:t>, og derfor er der som udgangspunkt også set på familier i de</w:t>
      </w:r>
      <w:r w:rsidR="00FF7E46">
        <w:rPr>
          <w:bCs/>
        </w:rPr>
        <w:t xml:space="preserve">tte notat. </w:t>
      </w:r>
      <w:r w:rsidR="0048784F">
        <w:rPr>
          <w:bCs/>
        </w:rPr>
        <w:t>Af samme årsag betragtes de 40 pct. laveste indkomster (</w:t>
      </w:r>
      <w:r w:rsidR="00FC3CE6">
        <w:rPr>
          <w:bCs/>
        </w:rPr>
        <w:t>som er den lavest mulige detaljeringsgrad)</w:t>
      </w:r>
      <w:r w:rsidR="00AA2C48">
        <w:rPr>
          <w:bCs/>
        </w:rPr>
        <w:t>.</w:t>
      </w:r>
      <w:r w:rsidR="00A21461">
        <w:rPr>
          <w:bCs/>
        </w:rPr>
        <w:t xml:space="preserve"> </w:t>
      </w:r>
    </w:p>
    <w:p w14:paraId="57C7DF75" w14:textId="77777777" w:rsidR="005B052B" w:rsidRDefault="005B052B" w:rsidP="00FC02A8">
      <w:pPr>
        <w:jc w:val="both"/>
        <w:rPr>
          <w:bCs/>
        </w:rPr>
      </w:pPr>
    </w:p>
    <w:p w14:paraId="23C30D07" w14:textId="4A87D374" w:rsidR="001363E3" w:rsidRDefault="00426FB8" w:rsidP="00FC02A8">
      <w:pPr>
        <w:jc w:val="both"/>
        <w:rPr>
          <w:bCs/>
        </w:rPr>
      </w:pPr>
      <w:r>
        <w:rPr>
          <w:bCs/>
        </w:rPr>
        <w:t xml:space="preserve">Den disponible gennemsnitsindkomst </w:t>
      </w:r>
      <w:r w:rsidR="00E5213D">
        <w:rPr>
          <w:bCs/>
        </w:rPr>
        <w:t>for de 40 pct. laveste indkomster er vokset</w:t>
      </w:r>
      <w:r w:rsidR="00BD2B20">
        <w:rPr>
          <w:bCs/>
        </w:rPr>
        <w:t xml:space="preserve"> fra </w:t>
      </w:r>
      <w:r w:rsidR="00C11655">
        <w:rPr>
          <w:bCs/>
        </w:rPr>
        <w:t>kn</w:t>
      </w:r>
      <w:r w:rsidR="00F1493F">
        <w:rPr>
          <w:bCs/>
        </w:rPr>
        <w:t>ap</w:t>
      </w:r>
      <w:r w:rsidR="00F9216F">
        <w:rPr>
          <w:bCs/>
        </w:rPr>
        <w:t xml:space="preserve"> 1</w:t>
      </w:r>
      <w:r w:rsidR="00F1493F">
        <w:rPr>
          <w:bCs/>
        </w:rPr>
        <w:t>9</w:t>
      </w:r>
      <w:r w:rsidR="00F9216F">
        <w:rPr>
          <w:bCs/>
        </w:rPr>
        <w:t xml:space="preserve">.000 kr. til knap 156.000 kr. </w:t>
      </w:r>
      <w:r w:rsidR="004D24B8">
        <w:rPr>
          <w:bCs/>
        </w:rPr>
        <w:t xml:space="preserve">per familie i løbet af 100 år. </w:t>
      </w:r>
      <w:r w:rsidR="006730B8">
        <w:rPr>
          <w:bCs/>
        </w:rPr>
        <w:t xml:space="preserve">De laveste indkomsters andel af den samlede indkomstmasse skønnes lidt forsigtigt at være vokset fra 10 pct. </w:t>
      </w:r>
      <w:r w:rsidR="00532A17">
        <w:rPr>
          <w:bCs/>
        </w:rPr>
        <w:t xml:space="preserve">til </w:t>
      </w:r>
      <w:r w:rsidR="00AC6C68">
        <w:rPr>
          <w:bCs/>
        </w:rPr>
        <w:t>16,</w:t>
      </w:r>
      <w:r w:rsidR="00C11655">
        <w:rPr>
          <w:bCs/>
        </w:rPr>
        <w:t>7</w:t>
      </w:r>
      <w:r w:rsidR="00F1493F">
        <w:rPr>
          <w:bCs/>
        </w:rPr>
        <w:t xml:space="preserve"> pct.</w:t>
      </w:r>
    </w:p>
    <w:p w14:paraId="2269C0E6" w14:textId="4E1A0AF3" w:rsidR="00F1493F" w:rsidRDefault="00F1493F" w:rsidP="00FC02A8">
      <w:pPr>
        <w:jc w:val="both"/>
        <w:rPr>
          <w:bCs/>
        </w:rPr>
      </w:pPr>
    </w:p>
    <w:p w14:paraId="5822EC7C" w14:textId="729B4ECD" w:rsidR="00F1493F" w:rsidRDefault="00E7551B" w:rsidP="00FC02A8">
      <w:pPr>
        <w:jc w:val="both"/>
        <w:rPr>
          <w:bCs/>
        </w:rPr>
      </w:pPr>
      <w:r>
        <w:rPr>
          <w:bCs/>
        </w:rPr>
        <w:t xml:space="preserve">Hvis det antages, at </w:t>
      </w:r>
      <w:r w:rsidR="00827887" w:rsidRPr="00A1305D">
        <w:rPr>
          <w:bCs/>
          <w:i/>
          <w:iCs/>
        </w:rPr>
        <w:t>hele</w:t>
      </w:r>
      <w:r w:rsidR="00827887">
        <w:rPr>
          <w:bCs/>
        </w:rPr>
        <w:t xml:space="preserve"> fremgangen i indkomstandel skyldes fordelingspolitik, kan den </w:t>
      </w:r>
      <w:r w:rsidR="00317F2D">
        <w:rPr>
          <w:bCs/>
        </w:rPr>
        <w:t xml:space="preserve">isolerede </w:t>
      </w:r>
      <w:r w:rsidR="007C1FE7">
        <w:rPr>
          <w:bCs/>
        </w:rPr>
        <w:t xml:space="preserve">effekt </w:t>
      </w:r>
      <w:r w:rsidR="00827887">
        <w:rPr>
          <w:bCs/>
        </w:rPr>
        <w:t xml:space="preserve">således </w:t>
      </w:r>
      <w:r w:rsidR="007C1FE7">
        <w:rPr>
          <w:bCs/>
        </w:rPr>
        <w:t>beregnes til</w:t>
      </w:r>
      <w:r w:rsidR="00410887">
        <w:rPr>
          <w:bCs/>
        </w:rPr>
        <w:t xml:space="preserve"> 9,2 pct. af den samlede vækst i levestandarden for denne gruppe. </w:t>
      </w:r>
      <w:r w:rsidR="00464D06">
        <w:rPr>
          <w:bCs/>
        </w:rPr>
        <w:t xml:space="preserve">De resterende 91,8 pct. er muliggjort af økonomisk vækst. </w:t>
      </w:r>
      <w:r w:rsidR="009F2F49">
        <w:rPr>
          <w:bCs/>
        </w:rPr>
        <w:t xml:space="preserve">Heraf er 54,4 en direkte konsekvens af </w:t>
      </w:r>
      <w:r w:rsidR="005C2EEB">
        <w:rPr>
          <w:bCs/>
        </w:rPr>
        <w:t xml:space="preserve">væksten, mens </w:t>
      </w:r>
      <w:r w:rsidR="009F2F49">
        <w:rPr>
          <w:bCs/>
        </w:rPr>
        <w:t>36,4</w:t>
      </w:r>
      <w:r w:rsidR="005C2EEB">
        <w:rPr>
          <w:bCs/>
        </w:rPr>
        <w:t xml:space="preserve"> pct. </w:t>
      </w:r>
      <w:r w:rsidR="00A012E3">
        <w:rPr>
          <w:bCs/>
        </w:rPr>
        <w:t xml:space="preserve">er en indirekte effekt, som </w:t>
      </w:r>
      <w:r w:rsidR="00781B8B">
        <w:rPr>
          <w:bCs/>
        </w:rPr>
        <w:t>s</w:t>
      </w:r>
      <w:r w:rsidR="009B01FD">
        <w:rPr>
          <w:bCs/>
        </w:rPr>
        <w:t>kyldes samspillet mellem økonomisk vækst og ændringen i fordeling.</w:t>
      </w:r>
      <w:r w:rsidR="00E257A3">
        <w:rPr>
          <w:bCs/>
        </w:rPr>
        <w:t xml:space="preserve"> Væksten har således </w:t>
      </w:r>
      <w:r w:rsidR="00B5293F">
        <w:rPr>
          <w:bCs/>
        </w:rPr>
        <w:t>også øget indkomstvirkningen af fordelingspolitikken.</w:t>
      </w:r>
    </w:p>
    <w:p w14:paraId="04ADA3FD" w14:textId="7885CE00" w:rsidR="00444570" w:rsidRDefault="00444570" w:rsidP="00FC02A8">
      <w:pPr>
        <w:jc w:val="both"/>
        <w:rPr>
          <w:bCs/>
        </w:rPr>
      </w:pPr>
    </w:p>
    <w:tbl>
      <w:tblPr>
        <w:tblStyle w:val="Tabel-Gitter"/>
        <w:tblW w:w="0" w:type="auto"/>
        <w:tblLook w:val="04A0" w:firstRow="1" w:lastRow="0" w:firstColumn="1" w:lastColumn="0" w:noHBand="0" w:noVBand="1"/>
      </w:tblPr>
      <w:tblGrid>
        <w:gridCol w:w="9202"/>
      </w:tblGrid>
      <w:tr w:rsidR="002A563D" w14:paraId="66CB84D8" w14:textId="77777777" w:rsidTr="002A563D">
        <w:tc>
          <w:tcPr>
            <w:tcW w:w="9202" w:type="dxa"/>
            <w:shd w:val="clear" w:color="auto" w:fill="004874"/>
          </w:tcPr>
          <w:p w14:paraId="61006264" w14:textId="7D7FCE7E" w:rsidR="002A563D" w:rsidRDefault="002A563D" w:rsidP="00FC02A8">
            <w:pPr>
              <w:jc w:val="both"/>
              <w:rPr>
                <w:bCs/>
              </w:rPr>
            </w:pPr>
            <w:r>
              <w:rPr>
                <w:bCs/>
              </w:rPr>
              <w:t>Tabel 1. Stigning i disponibel indkomst 1919-2019 for 40 pct. laveste indkomster</w:t>
            </w:r>
          </w:p>
        </w:tc>
      </w:tr>
      <w:tr w:rsidR="002A563D" w14:paraId="285E8776" w14:textId="77777777" w:rsidTr="002A563D">
        <w:tc>
          <w:tcPr>
            <w:tcW w:w="9202" w:type="dxa"/>
            <w:tcBorders>
              <w:bottom w:val="nil"/>
            </w:tcBorders>
          </w:tcPr>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465"/>
            </w:tblGrid>
            <w:tr w:rsidR="002A563D" w14:paraId="3F5FAE12" w14:textId="77777777" w:rsidTr="002A563D">
              <w:tc>
                <w:tcPr>
                  <w:tcW w:w="4601" w:type="dxa"/>
                </w:tcPr>
                <w:p w14:paraId="6929701E" w14:textId="77777777" w:rsidR="002A563D" w:rsidRPr="002A563D" w:rsidRDefault="002A563D" w:rsidP="002A563D">
                  <w:pPr>
                    <w:jc w:val="both"/>
                    <w:rPr>
                      <w:b/>
                    </w:rPr>
                  </w:pPr>
                  <w:r w:rsidRPr="002A563D">
                    <w:rPr>
                      <w:b/>
                    </w:rPr>
                    <w:t>Indkomststigning fordelt på</w:t>
                  </w:r>
                </w:p>
              </w:tc>
              <w:tc>
                <w:tcPr>
                  <w:tcW w:w="4601" w:type="dxa"/>
                </w:tcPr>
                <w:p w14:paraId="75BF1A45" w14:textId="77777777" w:rsidR="002A563D" w:rsidRDefault="002A563D" w:rsidP="002A563D">
                  <w:pPr>
                    <w:jc w:val="right"/>
                    <w:rPr>
                      <w:bCs/>
                    </w:rPr>
                  </w:pPr>
                </w:p>
              </w:tc>
            </w:tr>
            <w:tr w:rsidR="002A563D" w14:paraId="5AF35858" w14:textId="77777777" w:rsidTr="002A563D">
              <w:tc>
                <w:tcPr>
                  <w:tcW w:w="4601" w:type="dxa"/>
                </w:tcPr>
                <w:p w14:paraId="54A5BCAF" w14:textId="77777777" w:rsidR="002A563D" w:rsidRPr="00B5489B" w:rsidRDefault="002A563D" w:rsidP="002A563D">
                  <w:pPr>
                    <w:pStyle w:val="Listeafsnit"/>
                    <w:numPr>
                      <w:ilvl w:val="0"/>
                      <w:numId w:val="44"/>
                    </w:numPr>
                    <w:jc w:val="both"/>
                    <w:rPr>
                      <w:bCs/>
                    </w:rPr>
                  </w:pPr>
                  <w:r>
                    <w:rPr>
                      <w:bCs/>
                    </w:rPr>
                    <w:t>Ændret andel af fordeling</w:t>
                  </w:r>
                </w:p>
              </w:tc>
              <w:tc>
                <w:tcPr>
                  <w:tcW w:w="4601" w:type="dxa"/>
                </w:tcPr>
                <w:p w14:paraId="75445EBC" w14:textId="77777777" w:rsidR="002A563D" w:rsidRDefault="002A563D" w:rsidP="002A563D">
                  <w:pPr>
                    <w:jc w:val="right"/>
                    <w:rPr>
                      <w:bCs/>
                    </w:rPr>
                  </w:pPr>
                  <w:r>
                    <w:rPr>
                      <w:bCs/>
                    </w:rPr>
                    <w:t>9,2</w:t>
                  </w:r>
                </w:p>
              </w:tc>
            </w:tr>
            <w:tr w:rsidR="002A563D" w14:paraId="2468B1CF" w14:textId="77777777" w:rsidTr="002A563D">
              <w:tc>
                <w:tcPr>
                  <w:tcW w:w="4601" w:type="dxa"/>
                </w:tcPr>
                <w:p w14:paraId="44910029" w14:textId="77777777" w:rsidR="002A563D" w:rsidRPr="00D24E24" w:rsidRDefault="002A563D" w:rsidP="002A563D">
                  <w:pPr>
                    <w:pStyle w:val="Listeafsnit"/>
                    <w:numPr>
                      <w:ilvl w:val="0"/>
                      <w:numId w:val="44"/>
                    </w:numPr>
                    <w:jc w:val="both"/>
                    <w:rPr>
                      <w:bCs/>
                    </w:rPr>
                  </w:pPr>
                  <w:r>
                    <w:rPr>
                      <w:bCs/>
                    </w:rPr>
                    <w:t>Økonomisk vækst, direkte effekt</w:t>
                  </w:r>
                </w:p>
              </w:tc>
              <w:tc>
                <w:tcPr>
                  <w:tcW w:w="4601" w:type="dxa"/>
                </w:tcPr>
                <w:p w14:paraId="09BFF6B8" w14:textId="77777777" w:rsidR="002A563D" w:rsidRDefault="002A563D" w:rsidP="002A563D">
                  <w:pPr>
                    <w:jc w:val="right"/>
                    <w:rPr>
                      <w:bCs/>
                    </w:rPr>
                  </w:pPr>
                  <w:r>
                    <w:rPr>
                      <w:bCs/>
                    </w:rPr>
                    <w:t>54,4</w:t>
                  </w:r>
                </w:p>
              </w:tc>
            </w:tr>
            <w:tr w:rsidR="002A563D" w14:paraId="65D6E5B3" w14:textId="77777777" w:rsidTr="002A563D">
              <w:tc>
                <w:tcPr>
                  <w:tcW w:w="4601" w:type="dxa"/>
                </w:tcPr>
                <w:p w14:paraId="5F7A182E" w14:textId="77777777" w:rsidR="002A563D" w:rsidRPr="00D24E24" w:rsidRDefault="002A563D" w:rsidP="002A563D">
                  <w:pPr>
                    <w:pStyle w:val="Listeafsnit"/>
                    <w:numPr>
                      <w:ilvl w:val="0"/>
                      <w:numId w:val="44"/>
                    </w:numPr>
                    <w:jc w:val="both"/>
                    <w:rPr>
                      <w:bCs/>
                    </w:rPr>
                  </w:pPr>
                  <w:r>
                    <w:rPr>
                      <w:bCs/>
                    </w:rPr>
                    <w:t>Samspilseffekt af økonomisk vækst og fordeling</w:t>
                  </w:r>
                </w:p>
              </w:tc>
              <w:tc>
                <w:tcPr>
                  <w:tcW w:w="4601" w:type="dxa"/>
                </w:tcPr>
                <w:p w14:paraId="69FE8F93" w14:textId="77777777" w:rsidR="002A563D" w:rsidRDefault="002A563D" w:rsidP="002A563D">
                  <w:pPr>
                    <w:jc w:val="right"/>
                    <w:rPr>
                      <w:bCs/>
                    </w:rPr>
                  </w:pPr>
                  <w:r>
                    <w:rPr>
                      <w:bCs/>
                    </w:rPr>
                    <w:t>36,4</w:t>
                  </w:r>
                </w:p>
              </w:tc>
            </w:tr>
            <w:tr w:rsidR="002A563D" w14:paraId="00BED010" w14:textId="77777777" w:rsidTr="002A563D">
              <w:tc>
                <w:tcPr>
                  <w:tcW w:w="4601" w:type="dxa"/>
                </w:tcPr>
                <w:p w14:paraId="0036E211" w14:textId="77777777" w:rsidR="002A563D" w:rsidRDefault="002A563D" w:rsidP="002A563D">
                  <w:pPr>
                    <w:pStyle w:val="Listeafsnit"/>
                    <w:numPr>
                      <w:ilvl w:val="0"/>
                      <w:numId w:val="44"/>
                    </w:numPr>
                    <w:jc w:val="both"/>
                    <w:rPr>
                      <w:bCs/>
                    </w:rPr>
                  </w:pPr>
                  <w:r>
                    <w:rPr>
                      <w:bCs/>
                    </w:rPr>
                    <w:t>I alt</w:t>
                  </w:r>
                </w:p>
              </w:tc>
              <w:tc>
                <w:tcPr>
                  <w:tcW w:w="4601" w:type="dxa"/>
                </w:tcPr>
                <w:p w14:paraId="548B5814" w14:textId="77777777" w:rsidR="002A563D" w:rsidRDefault="002A563D" w:rsidP="002A563D">
                  <w:pPr>
                    <w:jc w:val="right"/>
                    <w:rPr>
                      <w:bCs/>
                    </w:rPr>
                  </w:pPr>
                  <w:r>
                    <w:rPr>
                      <w:bCs/>
                    </w:rPr>
                    <w:t>100,0</w:t>
                  </w:r>
                </w:p>
              </w:tc>
            </w:tr>
          </w:tbl>
          <w:p w14:paraId="28B44F9A" w14:textId="77777777" w:rsidR="002A563D" w:rsidRDefault="002A563D" w:rsidP="00FC02A8">
            <w:pPr>
              <w:jc w:val="both"/>
              <w:rPr>
                <w:bCs/>
              </w:rPr>
            </w:pPr>
          </w:p>
        </w:tc>
      </w:tr>
      <w:tr w:rsidR="002A563D" w14:paraId="2ED460A6" w14:textId="77777777" w:rsidTr="002A563D">
        <w:tc>
          <w:tcPr>
            <w:tcW w:w="9202" w:type="dxa"/>
            <w:tcBorders>
              <w:top w:val="nil"/>
            </w:tcBorders>
          </w:tcPr>
          <w:p w14:paraId="4D7F7C67" w14:textId="3A8BE0ED" w:rsidR="002A563D" w:rsidRPr="00944EFE" w:rsidRDefault="002A563D" w:rsidP="002A563D">
            <w:pPr>
              <w:jc w:val="both"/>
              <w:rPr>
                <w:bCs/>
              </w:rPr>
            </w:pPr>
            <w:r w:rsidRPr="00944EFE">
              <w:rPr>
                <w:bCs/>
                <w:i/>
                <w:iCs/>
                <w:color w:val="323435" w:themeColor="text1"/>
                <w:sz w:val="16"/>
                <w:szCs w:val="16"/>
              </w:rPr>
              <w:t>Kilde:</w:t>
            </w:r>
            <w:r w:rsidRPr="00944EFE">
              <w:rPr>
                <w:bCs/>
                <w:color w:val="323435" w:themeColor="text1"/>
                <w:sz w:val="16"/>
                <w:szCs w:val="16"/>
              </w:rPr>
              <w:t xml:space="preserve"> </w:t>
            </w:r>
            <w:r w:rsidRPr="00944EFE">
              <w:rPr>
                <w:bCs/>
                <w:i/>
                <w:iCs/>
                <w:color w:val="323435" w:themeColor="text1"/>
                <w:sz w:val="16"/>
                <w:szCs w:val="16"/>
              </w:rPr>
              <w:t>Egne beregninger</w:t>
            </w:r>
            <w:r w:rsidRPr="00944EFE">
              <w:rPr>
                <w:bCs/>
                <w:i/>
                <w:iCs/>
                <w:color w:val="323435" w:themeColor="text1"/>
                <w:sz w:val="16"/>
                <w:szCs w:val="16"/>
              </w:rPr>
              <w:tab/>
            </w:r>
          </w:p>
        </w:tc>
      </w:tr>
    </w:tbl>
    <w:p w14:paraId="403CC592" w14:textId="77777777" w:rsidR="002A563D" w:rsidRDefault="002A563D" w:rsidP="00FC02A8">
      <w:pPr>
        <w:jc w:val="both"/>
        <w:rPr>
          <w:bCs/>
        </w:rPr>
      </w:pPr>
    </w:p>
    <w:p w14:paraId="336BD253" w14:textId="49ACEBC6" w:rsidR="00524987" w:rsidRDefault="00524987" w:rsidP="00FC02A8">
      <w:pPr>
        <w:jc w:val="both"/>
        <w:rPr>
          <w:bCs/>
        </w:rPr>
      </w:pPr>
    </w:p>
    <w:p w14:paraId="09DDD483" w14:textId="76EB0C36" w:rsidR="00D10753" w:rsidRPr="00E741E2" w:rsidRDefault="00DC68F1" w:rsidP="00FC02A8">
      <w:pPr>
        <w:jc w:val="both"/>
        <w:rPr>
          <w:rFonts w:ascii="Bebas Neue" w:eastAsiaTheme="majorEastAsia" w:hAnsi="Bebas Neue" w:cstheme="majorBidi"/>
          <w:bCs/>
          <w:color w:val="07385E"/>
          <w:sz w:val="36"/>
          <w:szCs w:val="36"/>
        </w:rPr>
      </w:pPr>
      <w:r>
        <w:rPr>
          <w:rFonts w:ascii="Bebas Neue" w:eastAsiaTheme="majorEastAsia" w:hAnsi="Bebas Neue" w:cstheme="majorBidi"/>
          <w:bCs/>
          <w:color w:val="07385E"/>
          <w:sz w:val="36"/>
          <w:szCs w:val="36"/>
        </w:rPr>
        <w:t xml:space="preserve">2. </w:t>
      </w:r>
      <w:r w:rsidRPr="00E741E2">
        <w:rPr>
          <w:rFonts w:ascii="Bebas Neue" w:eastAsiaTheme="majorEastAsia" w:hAnsi="Bebas Neue" w:cstheme="majorBidi"/>
          <w:bCs/>
          <w:color w:val="07385E"/>
          <w:sz w:val="36"/>
          <w:szCs w:val="36"/>
        </w:rPr>
        <w:t>Konklusionen er robust</w:t>
      </w:r>
    </w:p>
    <w:p w14:paraId="3909D7EA" w14:textId="77777777" w:rsidR="00D10753" w:rsidRDefault="00D10753" w:rsidP="00FC02A8">
      <w:pPr>
        <w:jc w:val="both"/>
        <w:rPr>
          <w:bCs/>
        </w:rPr>
      </w:pPr>
    </w:p>
    <w:p w14:paraId="3EF83570" w14:textId="4C2CC80C" w:rsidR="00064C14" w:rsidRDefault="00DC68F1" w:rsidP="00FC02A8">
      <w:pPr>
        <w:jc w:val="both"/>
        <w:rPr>
          <w:bCs/>
        </w:rPr>
      </w:pPr>
      <w:r>
        <w:rPr>
          <w:bCs/>
        </w:rPr>
        <w:t>Beregningen bag tabel 1</w:t>
      </w:r>
      <w:r w:rsidR="00064C14">
        <w:rPr>
          <w:bCs/>
        </w:rPr>
        <w:t xml:space="preserve"> er baseret på </w:t>
      </w:r>
      <w:r w:rsidR="00462D37">
        <w:rPr>
          <w:bCs/>
        </w:rPr>
        <w:t xml:space="preserve">disponibel indkomst, dvs. </w:t>
      </w:r>
      <w:r w:rsidR="00E359B7">
        <w:rPr>
          <w:bCs/>
        </w:rPr>
        <w:t xml:space="preserve">inklusive offentlige overførsler og efter skat. </w:t>
      </w:r>
      <w:r w:rsidR="00843114">
        <w:rPr>
          <w:bCs/>
        </w:rPr>
        <w:t xml:space="preserve">Derimod indgår fordelingsvirkningen af offentligt forbrug ikke. Det er generelt </w:t>
      </w:r>
      <w:r w:rsidR="007D1D4B">
        <w:rPr>
          <w:bCs/>
        </w:rPr>
        <w:t>forbundet med betydelige vanskeligheder at fastslå fordelingseffekten,</w:t>
      </w:r>
      <w:r w:rsidR="00DA6530">
        <w:rPr>
          <w:bCs/>
        </w:rPr>
        <w:t xml:space="preserve"> bl.a.</w:t>
      </w:r>
      <w:r w:rsidR="007D1D4B">
        <w:rPr>
          <w:bCs/>
        </w:rPr>
        <w:t xml:space="preserve"> fordi </w:t>
      </w:r>
      <w:r w:rsidR="00395D91">
        <w:rPr>
          <w:bCs/>
        </w:rPr>
        <w:t>forbrugs</w:t>
      </w:r>
      <w:r w:rsidR="007D1D4B">
        <w:rPr>
          <w:bCs/>
        </w:rPr>
        <w:t xml:space="preserve">værdien af det offentlige forbrug </w:t>
      </w:r>
      <w:r w:rsidR="00395D91">
        <w:rPr>
          <w:bCs/>
        </w:rPr>
        <w:t>ikke opgøres. D</w:t>
      </w:r>
      <w:r w:rsidR="005A312F">
        <w:rPr>
          <w:bCs/>
        </w:rPr>
        <w:t xml:space="preserve">et offentlige forbrug </w:t>
      </w:r>
      <w:r w:rsidR="00772B3C">
        <w:rPr>
          <w:bCs/>
        </w:rPr>
        <w:t xml:space="preserve">er rationeret og allokeres uden brug af priser. Hvis </w:t>
      </w:r>
      <w:r w:rsidR="00E02C79">
        <w:rPr>
          <w:bCs/>
        </w:rPr>
        <w:t xml:space="preserve">man alligevel </w:t>
      </w:r>
      <w:r w:rsidR="00F9112C">
        <w:rPr>
          <w:bCs/>
        </w:rPr>
        <w:t>helt simpelt tillægger</w:t>
      </w:r>
      <w:r w:rsidR="00E75457">
        <w:rPr>
          <w:bCs/>
        </w:rPr>
        <w:t xml:space="preserve"> de offentlige forbrugsudgifter til de disponible indkomster</w:t>
      </w:r>
      <w:r w:rsidR="00C816E9">
        <w:rPr>
          <w:bCs/>
        </w:rPr>
        <w:t>, kan der foretages en tilsvarende beregning</w:t>
      </w:r>
      <w:r w:rsidR="00A4770B">
        <w:rPr>
          <w:bCs/>
        </w:rPr>
        <w:t xml:space="preserve"> som for disponibel indkomst.</w:t>
      </w:r>
    </w:p>
    <w:p w14:paraId="39B77BEA" w14:textId="4F199C52" w:rsidR="00A4770B" w:rsidRDefault="00A4770B" w:rsidP="00FC02A8">
      <w:pPr>
        <w:jc w:val="both"/>
        <w:rPr>
          <w:bCs/>
        </w:rPr>
      </w:pPr>
    </w:p>
    <w:p w14:paraId="248EC73D" w14:textId="5FAEDCCA" w:rsidR="00A4770B" w:rsidRDefault="00616D78" w:rsidP="00FC02A8">
      <w:pPr>
        <w:jc w:val="both"/>
        <w:rPr>
          <w:bCs/>
        </w:rPr>
      </w:pPr>
      <w:r>
        <w:rPr>
          <w:bCs/>
        </w:rPr>
        <w:t>Beregningen fremgår af tabel 2. Som det ses</w:t>
      </w:r>
      <w:r w:rsidR="002517DA">
        <w:rPr>
          <w:bCs/>
        </w:rPr>
        <w:t xml:space="preserve">, </w:t>
      </w:r>
      <w:r w:rsidR="009C29ED">
        <w:rPr>
          <w:bCs/>
        </w:rPr>
        <w:t xml:space="preserve">reducerer </w:t>
      </w:r>
      <w:r w:rsidR="004A47DD">
        <w:rPr>
          <w:bCs/>
        </w:rPr>
        <w:t xml:space="preserve">inddragelsen af offentligt forbrug betydningen af fordelingspolitik til blot </w:t>
      </w:r>
      <w:r w:rsidR="00616D04">
        <w:rPr>
          <w:bCs/>
        </w:rPr>
        <w:t>7,1</w:t>
      </w:r>
      <w:r w:rsidR="00D77573">
        <w:rPr>
          <w:bCs/>
        </w:rPr>
        <w:t xml:space="preserve"> pct. af indkomstfremgangen over 100 år, mens økonomisk vækst </w:t>
      </w:r>
      <w:r w:rsidR="004553BE">
        <w:rPr>
          <w:bCs/>
        </w:rPr>
        <w:t xml:space="preserve">samlet </w:t>
      </w:r>
      <w:r w:rsidR="00D77573">
        <w:rPr>
          <w:bCs/>
        </w:rPr>
        <w:t xml:space="preserve">tegner sig for </w:t>
      </w:r>
      <w:r w:rsidR="004553BE">
        <w:rPr>
          <w:bCs/>
        </w:rPr>
        <w:t xml:space="preserve">93,1 pct. </w:t>
      </w:r>
      <w:r w:rsidR="004A0A3F">
        <w:rPr>
          <w:bCs/>
        </w:rPr>
        <w:t>Det er måske overraskende, fordi det offentlige forbrug er mere ligeligt fordel end de disponible indkomster</w:t>
      </w:r>
      <w:r w:rsidR="00B53650">
        <w:rPr>
          <w:bCs/>
        </w:rPr>
        <w:t>, hvilket da også trækker i retning af en større effekt</w:t>
      </w:r>
      <w:r w:rsidR="004A0A3F">
        <w:rPr>
          <w:bCs/>
        </w:rPr>
        <w:t xml:space="preserve">. </w:t>
      </w:r>
      <w:r w:rsidR="00B53650">
        <w:rPr>
          <w:bCs/>
        </w:rPr>
        <w:t xml:space="preserve">Men </w:t>
      </w:r>
      <w:r w:rsidR="00C67133">
        <w:rPr>
          <w:bCs/>
        </w:rPr>
        <w:t>den store stigning</w:t>
      </w:r>
      <w:r w:rsidR="00E65490">
        <w:rPr>
          <w:bCs/>
        </w:rPr>
        <w:t xml:space="preserve"> i det offentlige forbrug navnlig efter 1960erne har </w:t>
      </w:r>
      <w:r w:rsidR="00E65490">
        <w:rPr>
          <w:bCs/>
        </w:rPr>
        <w:lastRenderedPageBreak/>
        <w:t>samtidig dæmpet væksten i de disponible indkomster</w:t>
      </w:r>
      <w:r w:rsidR="000A2FB7">
        <w:rPr>
          <w:bCs/>
        </w:rPr>
        <w:t xml:space="preserve">, der beregnes efter skat. Den nødvendige beskatning for at finansiere </w:t>
      </w:r>
      <w:r w:rsidR="00F921EC">
        <w:rPr>
          <w:bCs/>
        </w:rPr>
        <w:t xml:space="preserve">den offentlige forbrugsvæksten har således sænket vækstens betydning for de disponible indkomster, mens </w:t>
      </w:r>
      <w:r w:rsidR="00A146EE">
        <w:rPr>
          <w:bCs/>
        </w:rPr>
        <w:t>den økonomiske vækst slår fuldt igennem på disponible indkomster tillagt offentligt forbrug.</w:t>
      </w:r>
    </w:p>
    <w:p w14:paraId="7D951F61" w14:textId="725140B3" w:rsidR="003105FA" w:rsidRDefault="003105FA" w:rsidP="00FC02A8">
      <w:pPr>
        <w:jc w:val="both"/>
        <w:rPr>
          <w:bCs/>
        </w:rPr>
      </w:pPr>
    </w:p>
    <w:tbl>
      <w:tblPr>
        <w:tblStyle w:val="Tabel-Gitter"/>
        <w:tblW w:w="0" w:type="auto"/>
        <w:tblLook w:val="04A0" w:firstRow="1" w:lastRow="0" w:firstColumn="1" w:lastColumn="0" w:noHBand="0" w:noVBand="1"/>
      </w:tblPr>
      <w:tblGrid>
        <w:gridCol w:w="9202"/>
      </w:tblGrid>
      <w:tr w:rsidR="00944EFE" w14:paraId="52EEDA8D" w14:textId="77777777" w:rsidTr="00944EFE">
        <w:tc>
          <w:tcPr>
            <w:tcW w:w="9202" w:type="dxa"/>
            <w:shd w:val="clear" w:color="auto" w:fill="004874"/>
          </w:tcPr>
          <w:p w14:paraId="0C05BB4B" w14:textId="0FBA8226" w:rsidR="00944EFE" w:rsidRDefault="00944EFE" w:rsidP="00FC02A8">
            <w:pPr>
              <w:jc w:val="both"/>
              <w:rPr>
                <w:bCs/>
              </w:rPr>
            </w:pPr>
            <w:r>
              <w:rPr>
                <w:bCs/>
              </w:rPr>
              <w:t>Tabel 2. Stigning i disponibel indkomst tillagt offentligt forbrug 1919-2019 for 40 pct. laveste indkomster</w:t>
            </w:r>
          </w:p>
        </w:tc>
      </w:tr>
      <w:tr w:rsidR="00944EFE" w14:paraId="1D9A3FAD" w14:textId="77777777" w:rsidTr="00944EFE">
        <w:tc>
          <w:tcPr>
            <w:tcW w:w="9202" w:type="dxa"/>
            <w:tcBorders>
              <w:bottom w:val="nil"/>
            </w:tcBorders>
          </w:tcPr>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472"/>
            </w:tblGrid>
            <w:tr w:rsidR="00944EFE" w14:paraId="193DD305" w14:textId="77777777" w:rsidTr="00944EFE">
              <w:tc>
                <w:tcPr>
                  <w:tcW w:w="4601" w:type="dxa"/>
                </w:tcPr>
                <w:p w14:paraId="142EB0FC" w14:textId="77777777" w:rsidR="00944EFE" w:rsidRPr="00944EFE" w:rsidRDefault="00944EFE" w:rsidP="00944EFE">
                  <w:pPr>
                    <w:jc w:val="both"/>
                    <w:rPr>
                      <w:b/>
                    </w:rPr>
                  </w:pPr>
                  <w:r w:rsidRPr="00944EFE">
                    <w:rPr>
                      <w:b/>
                    </w:rPr>
                    <w:t>Indkomststigning fordelt på</w:t>
                  </w:r>
                </w:p>
              </w:tc>
              <w:tc>
                <w:tcPr>
                  <w:tcW w:w="4601" w:type="dxa"/>
                </w:tcPr>
                <w:p w14:paraId="5E485DA8" w14:textId="77777777" w:rsidR="00944EFE" w:rsidRDefault="00944EFE" w:rsidP="00944EFE">
                  <w:pPr>
                    <w:jc w:val="both"/>
                    <w:rPr>
                      <w:bCs/>
                    </w:rPr>
                  </w:pPr>
                </w:p>
              </w:tc>
            </w:tr>
            <w:tr w:rsidR="00944EFE" w14:paraId="721AAB8B" w14:textId="77777777" w:rsidTr="00944EFE">
              <w:tc>
                <w:tcPr>
                  <w:tcW w:w="4601" w:type="dxa"/>
                </w:tcPr>
                <w:p w14:paraId="73D52A40" w14:textId="77777777" w:rsidR="00944EFE" w:rsidRPr="00B5489B" w:rsidRDefault="00944EFE" w:rsidP="00944EFE">
                  <w:pPr>
                    <w:pStyle w:val="Listeafsnit"/>
                    <w:numPr>
                      <w:ilvl w:val="0"/>
                      <w:numId w:val="44"/>
                    </w:numPr>
                    <w:jc w:val="both"/>
                    <w:rPr>
                      <w:bCs/>
                    </w:rPr>
                  </w:pPr>
                  <w:r>
                    <w:rPr>
                      <w:bCs/>
                    </w:rPr>
                    <w:t>Ændret andel af fordeling</w:t>
                  </w:r>
                </w:p>
              </w:tc>
              <w:tc>
                <w:tcPr>
                  <w:tcW w:w="4601" w:type="dxa"/>
                </w:tcPr>
                <w:p w14:paraId="53C2C55F" w14:textId="77777777" w:rsidR="00944EFE" w:rsidRDefault="00944EFE" w:rsidP="00944EFE">
                  <w:pPr>
                    <w:jc w:val="right"/>
                    <w:rPr>
                      <w:bCs/>
                    </w:rPr>
                  </w:pPr>
                  <w:r>
                    <w:rPr>
                      <w:bCs/>
                    </w:rPr>
                    <w:t>7,1</w:t>
                  </w:r>
                </w:p>
              </w:tc>
            </w:tr>
            <w:tr w:rsidR="00944EFE" w14:paraId="43561B74" w14:textId="77777777" w:rsidTr="00944EFE">
              <w:tc>
                <w:tcPr>
                  <w:tcW w:w="4601" w:type="dxa"/>
                </w:tcPr>
                <w:p w14:paraId="0433F221" w14:textId="77777777" w:rsidR="00944EFE" w:rsidRPr="00D24E24" w:rsidRDefault="00944EFE" w:rsidP="00944EFE">
                  <w:pPr>
                    <w:pStyle w:val="Listeafsnit"/>
                    <w:numPr>
                      <w:ilvl w:val="0"/>
                      <w:numId w:val="44"/>
                    </w:numPr>
                    <w:jc w:val="both"/>
                    <w:rPr>
                      <w:bCs/>
                    </w:rPr>
                  </w:pPr>
                  <w:r>
                    <w:rPr>
                      <w:bCs/>
                    </w:rPr>
                    <w:t>Økonomisk vækst, direkte effekt</w:t>
                  </w:r>
                </w:p>
              </w:tc>
              <w:tc>
                <w:tcPr>
                  <w:tcW w:w="4601" w:type="dxa"/>
                </w:tcPr>
                <w:p w14:paraId="57DC8E90" w14:textId="77777777" w:rsidR="00944EFE" w:rsidRDefault="00944EFE" w:rsidP="00944EFE">
                  <w:pPr>
                    <w:jc w:val="right"/>
                    <w:rPr>
                      <w:bCs/>
                    </w:rPr>
                  </w:pPr>
                  <w:r>
                    <w:rPr>
                      <w:bCs/>
                    </w:rPr>
                    <w:t>71,4</w:t>
                  </w:r>
                </w:p>
              </w:tc>
            </w:tr>
            <w:tr w:rsidR="00944EFE" w14:paraId="1BF4376D" w14:textId="77777777" w:rsidTr="00944EFE">
              <w:tc>
                <w:tcPr>
                  <w:tcW w:w="4601" w:type="dxa"/>
                </w:tcPr>
                <w:p w14:paraId="5968159E" w14:textId="77777777" w:rsidR="00944EFE" w:rsidRPr="00D24E24" w:rsidRDefault="00944EFE" w:rsidP="00944EFE">
                  <w:pPr>
                    <w:pStyle w:val="Listeafsnit"/>
                    <w:numPr>
                      <w:ilvl w:val="0"/>
                      <w:numId w:val="44"/>
                    </w:numPr>
                    <w:jc w:val="both"/>
                    <w:rPr>
                      <w:bCs/>
                    </w:rPr>
                  </w:pPr>
                  <w:r>
                    <w:rPr>
                      <w:bCs/>
                    </w:rPr>
                    <w:t>Samspil af økonomisk vækst og fordeling</w:t>
                  </w:r>
                </w:p>
              </w:tc>
              <w:tc>
                <w:tcPr>
                  <w:tcW w:w="4601" w:type="dxa"/>
                </w:tcPr>
                <w:p w14:paraId="09123E7F" w14:textId="77777777" w:rsidR="00944EFE" w:rsidRDefault="00944EFE" w:rsidP="00944EFE">
                  <w:pPr>
                    <w:jc w:val="right"/>
                    <w:rPr>
                      <w:bCs/>
                    </w:rPr>
                  </w:pPr>
                  <w:r>
                    <w:rPr>
                      <w:bCs/>
                    </w:rPr>
                    <w:t>21,5</w:t>
                  </w:r>
                </w:p>
              </w:tc>
            </w:tr>
            <w:tr w:rsidR="00944EFE" w14:paraId="65119017" w14:textId="77777777" w:rsidTr="00944EFE">
              <w:tc>
                <w:tcPr>
                  <w:tcW w:w="4601" w:type="dxa"/>
                </w:tcPr>
                <w:p w14:paraId="02FF074D" w14:textId="77777777" w:rsidR="00944EFE" w:rsidRDefault="00944EFE" w:rsidP="00944EFE">
                  <w:pPr>
                    <w:pStyle w:val="Listeafsnit"/>
                    <w:numPr>
                      <w:ilvl w:val="0"/>
                      <w:numId w:val="44"/>
                    </w:numPr>
                    <w:jc w:val="both"/>
                    <w:rPr>
                      <w:bCs/>
                    </w:rPr>
                  </w:pPr>
                  <w:r>
                    <w:rPr>
                      <w:bCs/>
                    </w:rPr>
                    <w:t>I alt</w:t>
                  </w:r>
                </w:p>
              </w:tc>
              <w:tc>
                <w:tcPr>
                  <w:tcW w:w="4601" w:type="dxa"/>
                </w:tcPr>
                <w:p w14:paraId="0CC7B904" w14:textId="77777777" w:rsidR="00944EFE" w:rsidRDefault="00944EFE" w:rsidP="00944EFE">
                  <w:pPr>
                    <w:jc w:val="right"/>
                    <w:rPr>
                      <w:bCs/>
                    </w:rPr>
                  </w:pPr>
                  <w:r>
                    <w:rPr>
                      <w:bCs/>
                    </w:rPr>
                    <w:t>100,0</w:t>
                  </w:r>
                </w:p>
              </w:tc>
            </w:tr>
          </w:tbl>
          <w:p w14:paraId="304336CE" w14:textId="77777777" w:rsidR="00944EFE" w:rsidRDefault="00944EFE" w:rsidP="00FC02A8">
            <w:pPr>
              <w:jc w:val="both"/>
              <w:rPr>
                <w:bCs/>
              </w:rPr>
            </w:pPr>
          </w:p>
        </w:tc>
      </w:tr>
      <w:tr w:rsidR="00944EFE" w14:paraId="53A25745" w14:textId="77777777" w:rsidTr="00944EFE">
        <w:tc>
          <w:tcPr>
            <w:tcW w:w="9202" w:type="dxa"/>
            <w:tcBorders>
              <w:top w:val="nil"/>
            </w:tcBorders>
          </w:tcPr>
          <w:p w14:paraId="41898439" w14:textId="48941326" w:rsidR="00944EFE" w:rsidRPr="00944EFE" w:rsidRDefault="00944EFE" w:rsidP="00944EFE">
            <w:pPr>
              <w:jc w:val="both"/>
              <w:rPr>
                <w:bCs/>
              </w:rPr>
            </w:pPr>
            <w:r w:rsidRPr="00944EFE">
              <w:rPr>
                <w:bCs/>
                <w:i/>
                <w:iCs/>
                <w:color w:val="323435" w:themeColor="text1"/>
                <w:sz w:val="16"/>
                <w:szCs w:val="16"/>
              </w:rPr>
              <w:t>Kilde:</w:t>
            </w:r>
            <w:r w:rsidRPr="00944EFE">
              <w:rPr>
                <w:bCs/>
                <w:color w:val="323435" w:themeColor="text1"/>
                <w:sz w:val="16"/>
                <w:szCs w:val="16"/>
              </w:rPr>
              <w:t xml:space="preserve"> </w:t>
            </w:r>
            <w:r w:rsidRPr="00944EFE">
              <w:rPr>
                <w:bCs/>
                <w:i/>
                <w:iCs/>
                <w:color w:val="323435" w:themeColor="text1"/>
                <w:sz w:val="16"/>
                <w:szCs w:val="16"/>
              </w:rPr>
              <w:t>Egne beregninger</w:t>
            </w:r>
            <w:r w:rsidRPr="00944EFE">
              <w:rPr>
                <w:bCs/>
                <w:i/>
                <w:iCs/>
                <w:color w:val="323435" w:themeColor="text1"/>
                <w:sz w:val="16"/>
                <w:szCs w:val="16"/>
              </w:rPr>
              <w:tab/>
            </w:r>
          </w:p>
        </w:tc>
      </w:tr>
    </w:tbl>
    <w:p w14:paraId="322C1721" w14:textId="77777777" w:rsidR="002A563D" w:rsidRDefault="002A563D" w:rsidP="00FC02A8">
      <w:pPr>
        <w:jc w:val="both"/>
        <w:rPr>
          <w:bCs/>
        </w:rPr>
      </w:pPr>
    </w:p>
    <w:p w14:paraId="4BD661D6" w14:textId="7A741A1E" w:rsidR="00876D10" w:rsidRDefault="00876D10" w:rsidP="00FC02A8">
      <w:pPr>
        <w:jc w:val="both"/>
        <w:rPr>
          <w:bCs/>
        </w:rPr>
      </w:pPr>
    </w:p>
    <w:p w14:paraId="531AE6C3" w14:textId="28694F63" w:rsidR="00876D10" w:rsidRDefault="003E3EB3" w:rsidP="00FC02A8">
      <w:pPr>
        <w:jc w:val="both"/>
        <w:rPr>
          <w:bCs/>
        </w:rPr>
      </w:pPr>
      <w:r>
        <w:rPr>
          <w:bCs/>
        </w:rPr>
        <w:t>Så selv om de disponible indkomster udviser større spredning</w:t>
      </w:r>
      <w:r w:rsidR="00732F73">
        <w:rPr>
          <w:bCs/>
        </w:rPr>
        <w:t xml:space="preserve"> end indkomsterne tillagt offentligt forbrug, så dæmper det ikke betydningen af økonomisk vækst</w:t>
      </w:r>
      <w:r w:rsidR="004E1AD1">
        <w:rPr>
          <w:bCs/>
        </w:rPr>
        <w:t xml:space="preserve">, men forstærker den. </w:t>
      </w:r>
    </w:p>
    <w:p w14:paraId="6B174FEB" w14:textId="7861EB18" w:rsidR="004E1AD1" w:rsidRDefault="004E1AD1" w:rsidP="00FC02A8">
      <w:pPr>
        <w:jc w:val="both"/>
        <w:rPr>
          <w:bCs/>
        </w:rPr>
      </w:pPr>
    </w:p>
    <w:p w14:paraId="5F84FA51" w14:textId="3946BC57" w:rsidR="004E1AD1" w:rsidRDefault="0079101E" w:rsidP="00FC02A8">
      <w:pPr>
        <w:jc w:val="both"/>
        <w:rPr>
          <w:bCs/>
        </w:rPr>
      </w:pPr>
      <w:r>
        <w:rPr>
          <w:bCs/>
        </w:rPr>
        <w:t xml:space="preserve">Det er som sagt ikke muligt at </w:t>
      </w:r>
      <w:r w:rsidR="00380A09">
        <w:rPr>
          <w:bCs/>
        </w:rPr>
        <w:t>opgøre befolkningen som normalt i</w:t>
      </w:r>
      <w:r w:rsidR="00CA533F">
        <w:rPr>
          <w:bCs/>
        </w:rPr>
        <w:t xml:space="preserve"> nutidige danske</w:t>
      </w:r>
      <w:r w:rsidR="00380A09">
        <w:rPr>
          <w:bCs/>
        </w:rPr>
        <w:t xml:space="preserve"> fordelingsanalyser, hvor </w:t>
      </w:r>
      <w:r w:rsidR="0042213A">
        <w:rPr>
          <w:bCs/>
        </w:rPr>
        <w:t>den fordeles som personer efter ækvivaleret indkomst. Det vil sige</w:t>
      </w:r>
      <w:r w:rsidR="00CA533F">
        <w:rPr>
          <w:bCs/>
        </w:rPr>
        <w:t>, at indkomsten i hver familie fordeles på personer</w:t>
      </w:r>
      <w:r w:rsidR="00937EDF">
        <w:rPr>
          <w:bCs/>
        </w:rPr>
        <w:t>, og at der tages hensyn til de stordriftsfordele, der findes i en familie.</w:t>
      </w:r>
      <w:r w:rsidR="00294D4D">
        <w:rPr>
          <w:bCs/>
        </w:rPr>
        <w:t xml:space="preserve"> Det kan imidlertid </w:t>
      </w:r>
      <w:r w:rsidR="005C1F18">
        <w:rPr>
          <w:bCs/>
        </w:rPr>
        <w:t>alternativt</w:t>
      </w:r>
      <w:r w:rsidR="00294D4D">
        <w:rPr>
          <w:bCs/>
        </w:rPr>
        <w:t xml:space="preserve">antages, at </w:t>
      </w:r>
      <w:r w:rsidR="00F03324">
        <w:rPr>
          <w:bCs/>
        </w:rPr>
        <w:t xml:space="preserve">1919-fordelingen svarer til en ækvivaleret </w:t>
      </w:r>
      <w:r w:rsidR="009D0700">
        <w:rPr>
          <w:bCs/>
        </w:rPr>
        <w:t xml:space="preserve">fordeling, som kan sammenholdes med en ækvivaleret 2019-fordeling. I så fald øges </w:t>
      </w:r>
      <w:r w:rsidR="00B17FC9">
        <w:rPr>
          <w:bCs/>
        </w:rPr>
        <w:t>indkomstandelen for de laveste 40 pct. fra 16,7 pct. til 22,</w:t>
      </w:r>
      <w:r w:rsidR="002D2201">
        <w:rPr>
          <w:bCs/>
        </w:rPr>
        <w:t>4 pct.</w:t>
      </w:r>
      <w:r w:rsidR="0057437B">
        <w:rPr>
          <w:bCs/>
        </w:rPr>
        <w:t xml:space="preserve"> Hvis det fortsat antages, at hele ændringen afspejler fordelings</w:t>
      </w:r>
      <w:r w:rsidR="00E51709">
        <w:rPr>
          <w:bCs/>
        </w:rPr>
        <w:t xml:space="preserve">politik, så øger det fordelingspolitikkens indflydelse på indkomststigningen i løbet de sidste 100 år. </w:t>
      </w:r>
      <w:r w:rsidR="00A64905">
        <w:rPr>
          <w:bCs/>
        </w:rPr>
        <w:t xml:space="preserve">Det </w:t>
      </w:r>
      <w:r w:rsidR="00685E1A">
        <w:rPr>
          <w:bCs/>
        </w:rPr>
        <w:t xml:space="preserve">er dog selv i dette tilfælde kun 12,2 pct. af fremgangen, der i så fald kan tilskrives fordelingspolitik isoleret, mens væksten tegner sig for </w:t>
      </w:r>
      <w:r w:rsidR="005774A0">
        <w:rPr>
          <w:bCs/>
        </w:rPr>
        <w:t xml:space="preserve">87,8 pct., når både den direkte og indirekte effekt regnes med. </w:t>
      </w:r>
      <w:r w:rsidR="005D7B41">
        <w:rPr>
          <w:bCs/>
        </w:rPr>
        <w:t xml:space="preserve">Den direkte væksteffekt svarer til </w:t>
      </w:r>
      <w:r w:rsidR="00780FD7">
        <w:rPr>
          <w:bCs/>
        </w:rPr>
        <w:t>næsten halvdelen af den samlede indkomststigning.</w:t>
      </w:r>
    </w:p>
    <w:p w14:paraId="36F4ADCE" w14:textId="63BC9964" w:rsidR="0009750A" w:rsidRDefault="0009750A" w:rsidP="00FC02A8">
      <w:pPr>
        <w:jc w:val="both"/>
        <w:rPr>
          <w:bCs/>
        </w:rPr>
      </w:pPr>
    </w:p>
    <w:p w14:paraId="55557E33" w14:textId="7470060E" w:rsidR="0009750A" w:rsidRDefault="00C01952" w:rsidP="00FC02A8">
      <w:pPr>
        <w:jc w:val="both"/>
        <w:rPr>
          <w:bCs/>
        </w:rPr>
      </w:pPr>
      <w:r>
        <w:rPr>
          <w:bCs/>
        </w:rPr>
        <w:t xml:space="preserve">Som nævnt er </w:t>
      </w:r>
      <w:r w:rsidR="009D7E80">
        <w:rPr>
          <w:bCs/>
        </w:rPr>
        <w:t xml:space="preserve">effekten af vækst større, desto længere et tidsperspektiv der betragtes. </w:t>
      </w:r>
      <w:r w:rsidR="00E00CDF">
        <w:rPr>
          <w:bCs/>
        </w:rPr>
        <w:t xml:space="preserve">For at sammenligne er derfor foretaget en tilsvarende beregning for den halve periode af </w:t>
      </w:r>
      <w:r w:rsidR="00304F6B">
        <w:rPr>
          <w:bCs/>
        </w:rPr>
        <w:t xml:space="preserve">de 100 år (1970-2019). </w:t>
      </w:r>
      <w:r w:rsidR="00CC6D0D">
        <w:rPr>
          <w:bCs/>
        </w:rPr>
        <w:t xml:space="preserve">I så fald kan tegner ændringen i fordelingsandel sig for </w:t>
      </w:r>
      <w:r w:rsidR="00E94274">
        <w:rPr>
          <w:bCs/>
        </w:rPr>
        <w:t>godt en fjerdedel af fremgangen i disponibel indkomst</w:t>
      </w:r>
      <w:r w:rsidR="00FB77A4">
        <w:rPr>
          <w:bCs/>
        </w:rPr>
        <w:t xml:space="preserve"> (26,3 pct.), mens den direkte væksteffekt </w:t>
      </w:r>
      <w:r w:rsidR="00460E6A">
        <w:rPr>
          <w:bCs/>
        </w:rPr>
        <w:t xml:space="preserve">udgør mere end halvdelen (55,2 pct.) og samspilseffekten </w:t>
      </w:r>
      <w:r w:rsidR="00FB2A20">
        <w:rPr>
          <w:bCs/>
        </w:rPr>
        <w:t>reste</w:t>
      </w:r>
      <w:r w:rsidR="00B47D2A">
        <w:rPr>
          <w:bCs/>
        </w:rPr>
        <w:t>n (18,5 pct.). Væksten spiller fortsat en klart dominerende rolle, selv</w:t>
      </w:r>
      <w:r w:rsidR="00875583">
        <w:rPr>
          <w:bCs/>
        </w:rPr>
        <w:t xml:space="preserve"> om denne periode omfatter en voldsom udbygning af den danske velfærdsstat</w:t>
      </w:r>
      <w:r w:rsidR="009578C8">
        <w:rPr>
          <w:rStyle w:val="Fodnotehenvisning"/>
          <w:bCs/>
        </w:rPr>
        <w:footnoteReference w:id="3"/>
      </w:r>
      <w:r w:rsidR="00875583">
        <w:rPr>
          <w:bCs/>
        </w:rPr>
        <w:t xml:space="preserve">. </w:t>
      </w:r>
    </w:p>
    <w:p w14:paraId="038E48F1" w14:textId="77777777" w:rsidR="004F6B65" w:rsidRDefault="004F6B65" w:rsidP="00FC02A8">
      <w:pPr>
        <w:jc w:val="both"/>
        <w:rPr>
          <w:bCs/>
        </w:rPr>
      </w:pPr>
    </w:p>
    <w:p w14:paraId="62813E8B" w14:textId="61C45C41" w:rsidR="004F6B65" w:rsidRPr="007F5B95" w:rsidRDefault="00E741E2" w:rsidP="007F5B95">
      <w:pPr>
        <w:pStyle w:val="Overskrift1"/>
        <w:numPr>
          <w:ilvl w:val="0"/>
          <w:numId w:val="0"/>
        </w:numPr>
        <w:ind w:left="432" w:hanging="432"/>
        <w:jc w:val="both"/>
      </w:pPr>
      <w:r>
        <w:t>3</w:t>
      </w:r>
      <w:r w:rsidR="00001B92">
        <w:t xml:space="preserve">. </w:t>
      </w:r>
      <w:r w:rsidR="004F6B65" w:rsidRPr="007F5B95">
        <w:t>Omfordeling hæmmer væksten</w:t>
      </w:r>
    </w:p>
    <w:p w14:paraId="13493B28" w14:textId="7B17C239" w:rsidR="004F6B65" w:rsidRDefault="004F6B65" w:rsidP="004F6B65">
      <w:pPr>
        <w:jc w:val="both"/>
        <w:rPr>
          <w:bCs/>
        </w:rPr>
      </w:pPr>
      <w:r>
        <w:rPr>
          <w:bCs/>
        </w:rPr>
        <w:t xml:space="preserve">Opgørelsen af kilderne </w:t>
      </w:r>
      <w:r w:rsidR="00EA33B7">
        <w:rPr>
          <w:bCs/>
        </w:rPr>
        <w:t xml:space="preserve">(henholdsvis fordeling og vækst) </w:t>
      </w:r>
      <w:r>
        <w:rPr>
          <w:bCs/>
        </w:rPr>
        <w:t xml:space="preserve">til indkomststigningen hos de laveste indkomster tager udgangspunkt i den faktisk konstaterede vækst i disponible indkomster og ændringen i gruppens andele af indkomsterne. </w:t>
      </w:r>
    </w:p>
    <w:p w14:paraId="7B6F2D24" w14:textId="77777777" w:rsidR="004F6B65" w:rsidRDefault="004F6B65" w:rsidP="004F6B65">
      <w:pPr>
        <w:jc w:val="both"/>
        <w:rPr>
          <w:bCs/>
        </w:rPr>
      </w:pPr>
    </w:p>
    <w:p w14:paraId="7323C672" w14:textId="41489DA1" w:rsidR="004F6B65" w:rsidRDefault="004F6B65" w:rsidP="004F6B65">
      <w:pPr>
        <w:jc w:val="both"/>
        <w:rPr>
          <w:bCs/>
        </w:rPr>
      </w:pPr>
      <w:r>
        <w:rPr>
          <w:bCs/>
        </w:rPr>
        <w:t xml:space="preserve">Det er imidlertid </w:t>
      </w:r>
      <w:r w:rsidR="00331F9D">
        <w:rPr>
          <w:bCs/>
        </w:rPr>
        <w:t xml:space="preserve">et </w:t>
      </w:r>
      <w:r>
        <w:rPr>
          <w:bCs/>
        </w:rPr>
        <w:t>velkendt økonomisk teoretisk og empirisk fænomen, at fordelingspolitik påvirker væksten. Der er således et ”trade-off” mellem fordeling og vækst. Øget omfordeling hæmmer væksten gennem mindre incitament til at investere, udbyde arbejdskraft og forbedre produktiviteten som følge af højere skattesatser og overførselsindkomster</w:t>
      </w:r>
      <w:r w:rsidR="00AE68FB">
        <w:rPr>
          <w:rStyle w:val="Fodnotehenvisning"/>
          <w:bCs/>
        </w:rPr>
        <w:footnoteReference w:id="4"/>
      </w:r>
      <w:r>
        <w:rPr>
          <w:bCs/>
        </w:rPr>
        <w:t xml:space="preserve">. Det indebærer, at den økonomiske vækst har været mindre, end </w:t>
      </w:r>
      <w:r w:rsidR="00CB07B6">
        <w:rPr>
          <w:bCs/>
        </w:rPr>
        <w:t xml:space="preserve">den </w:t>
      </w:r>
      <w:r>
        <w:rPr>
          <w:bCs/>
        </w:rPr>
        <w:t>ville have været i fravær af den forøgede omfordeling i løbet af det seneste 100 år. På samme måde påvirker omfordeling også indkomstdannelsen. Det er f.eks. en betingelse for at modtage en lang række overførselsindkomster, at modtageren ikke har erhvervsindkomster ved siden af. Omfanget af omfordeling har derfor været større end selve fremgangen i indkomstandelen for de laveste indkomster antyder. Udgifterne til indkomstoverførsler udgjorde 15,9 pct. af BNP i 2019.</w:t>
      </w:r>
    </w:p>
    <w:p w14:paraId="3E80F3BB" w14:textId="77777777" w:rsidR="004F6B65" w:rsidRDefault="004F6B65" w:rsidP="004F6B65">
      <w:pPr>
        <w:jc w:val="both"/>
        <w:rPr>
          <w:bCs/>
        </w:rPr>
      </w:pPr>
    </w:p>
    <w:p w14:paraId="7413318F" w14:textId="14752124" w:rsidR="004F6B65" w:rsidRDefault="001A6D4D" w:rsidP="004F6B65">
      <w:pPr>
        <w:jc w:val="both"/>
        <w:rPr>
          <w:bCs/>
        </w:rPr>
      </w:pPr>
      <w:r w:rsidRPr="001A6D4D">
        <w:rPr>
          <w:bCs/>
          <w:noProof/>
        </w:rPr>
        <mc:AlternateContent>
          <mc:Choice Requires="wps">
            <w:drawing>
              <wp:anchor distT="45720" distB="45720" distL="114300" distR="114300" simplePos="0" relativeHeight="251658240" behindDoc="0" locked="0" layoutInCell="1" allowOverlap="1" wp14:anchorId="6670F736" wp14:editId="11FC62F2">
                <wp:simplePos x="0" y="0"/>
                <wp:positionH relativeFrom="column">
                  <wp:posOffset>136525</wp:posOffset>
                </wp:positionH>
                <wp:positionV relativeFrom="paragraph">
                  <wp:posOffset>2058035</wp:posOffset>
                </wp:positionV>
                <wp:extent cx="5645785" cy="2301875"/>
                <wp:effectExtent l="0" t="0" r="12065" b="2222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301875"/>
                        </a:xfrm>
                        <a:prstGeom prst="rect">
                          <a:avLst/>
                        </a:prstGeom>
                        <a:solidFill>
                          <a:srgbClr val="FFFFFF"/>
                        </a:solidFill>
                        <a:ln w="9525">
                          <a:solidFill>
                            <a:srgbClr val="000000"/>
                          </a:solidFill>
                          <a:miter lim="800000"/>
                          <a:headEnd/>
                          <a:tailEnd/>
                        </a:ln>
                      </wps:spPr>
                      <wps:txbx>
                        <w:txbxContent>
                          <w:p w14:paraId="75BF4497" w14:textId="5716A9A4" w:rsidR="001A6D4D" w:rsidRPr="005866F8" w:rsidRDefault="001A6D4D" w:rsidP="001A6D4D">
                            <w:pPr>
                              <w:jc w:val="both"/>
                              <w:rPr>
                                <w:bCs/>
                                <w:sz w:val="18"/>
                                <w:szCs w:val="18"/>
                              </w:rPr>
                            </w:pPr>
                            <w:r w:rsidRPr="005866F8">
                              <w:rPr>
                                <w:bCs/>
                                <w:sz w:val="18"/>
                                <w:szCs w:val="18"/>
                              </w:rPr>
                              <w:t xml:space="preserve">Under forudsætning af, at fordelingspolitikken har reduceret den årlige BNP-vækst med 0,5 pct. i de seneste 50 år, svarer det til, at mindrevæksten har reduceret </w:t>
                            </w:r>
                            <w:r w:rsidR="008F4C26">
                              <w:rPr>
                                <w:bCs/>
                                <w:sz w:val="18"/>
                                <w:szCs w:val="18"/>
                              </w:rPr>
                              <w:t>indkomstvirkningen af omfordeling</w:t>
                            </w:r>
                            <w:r w:rsidRPr="005866F8">
                              <w:rPr>
                                <w:bCs/>
                                <w:sz w:val="18"/>
                                <w:szCs w:val="18"/>
                              </w:rPr>
                              <w:t xml:space="preserve"> for 1.-4. decil til omtrent halvdelen (46,8 pct.). Det indebærer en implicit pris på knap 7 kr. i tabt BNP per omfordelt krone efter 50 år. Efter det første årti var prisen blot 0,8 kr. i tabt BNP. At omkostningen vokser med tiden, illustrerer at der kan være en politisk tilskyndelse til at lægge vægt på relativt kortsigtede fordelingsgevinster på bekostning af langsigtede tab for den økonomiske vækst. </w:t>
                            </w:r>
                          </w:p>
                          <w:p w14:paraId="45B74399" w14:textId="77777777" w:rsidR="001A6D4D" w:rsidRPr="005866F8" w:rsidRDefault="001A6D4D" w:rsidP="001A6D4D">
                            <w:pPr>
                              <w:jc w:val="both"/>
                              <w:rPr>
                                <w:bCs/>
                                <w:sz w:val="18"/>
                                <w:szCs w:val="18"/>
                              </w:rPr>
                            </w:pPr>
                          </w:p>
                          <w:p w14:paraId="22A93068" w14:textId="2E02878A" w:rsidR="001A6D4D" w:rsidRPr="005866F8" w:rsidRDefault="001A6D4D" w:rsidP="001A6D4D">
                            <w:pPr>
                              <w:jc w:val="both"/>
                              <w:rPr>
                                <w:bCs/>
                                <w:sz w:val="18"/>
                                <w:szCs w:val="18"/>
                              </w:rPr>
                            </w:pPr>
                            <w:r w:rsidRPr="005866F8">
                              <w:rPr>
                                <w:bCs/>
                                <w:sz w:val="18"/>
                                <w:szCs w:val="18"/>
                              </w:rPr>
                              <w:t xml:space="preserve">Det skal dog understreges, at beregningen her mest </w:t>
                            </w:r>
                            <w:r w:rsidR="00AD4FB5">
                              <w:rPr>
                                <w:bCs/>
                                <w:sz w:val="18"/>
                                <w:szCs w:val="18"/>
                              </w:rPr>
                              <w:t xml:space="preserve">har </w:t>
                            </w:r>
                            <w:r w:rsidRPr="005866F8">
                              <w:rPr>
                                <w:bCs/>
                                <w:sz w:val="18"/>
                                <w:szCs w:val="18"/>
                              </w:rPr>
                              <w:t xml:space="preserve">karakter af et beregningseksempel. Den faktiske historiske udvikling i Danmark var således præget af en meget voldsom stigning i de offentlige udgifter til bl.a. fordelingspolitik i sidste halvdel af 1960erne og 1970erne og deraf følgende betydelige ubalancer i den offentlige økonomi. Det foranledigede reformer af bl.a. overførselssystemerne i perioden fra 1980erne og frem til sidste valg. </w:t>
                            </w:r>
                          </w:p>
                          <w:p w14:paraId="53C973C1" w14:textId="332E683D" w:rsidR="001A6D4D" w:rsidRDefault="001A6D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70F736" id="_x0000_t202" coordsize="21600,21600" o:spt="202" path="m,l,21600r21600,l21600,xe">
                <v:stroke joinstyle="miter"/>
                <v:path gradientshapeok="t" o:connecttype="rect"/>
              </v:shapetype>
              <v:shape id="Tekstfelt 2" o:spid="_x0000_s1026" type="#_x0000_t202" style="position:absolute;left:0;text-align:left;margin-left:10.75pt;margin-top:162.05pt;width:444.55pt;height:18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">
                <v:textbox>
                  <w:txbxContent>
                    <w:p w14:paraId="75BF4497" w14:textId="5716A9A4" w:rsidR="001A6D4D" w:rsidRPr="005866F8" w:rsidRDefault="001A6D4D" w:rsidP="001A6D4D">
                      <w:pPr>
                        <w:jc w:val="both"/>
                        <w:rPr>
                          <w:bCs/>
                          <w:sz w:val="18"/>
                          <w:szCs w:val="18"/>
                        </w:rPr>
                      </w:pPr>
                      <w:r w:rsidRPr="005866F8">
                        <w:rPr>
                          <w:bCs/>
                          <w:sz w:val="18"/>
                          <w:szCs w:val="18"/>
                        </w:rPr>
                        <w:t xml:space="preserve">Under forudsætning af, at fordelingspolitikken har reduceret den årlige BNP-vækst med 0,5 pct. i de seneste 50 år, svarer det til, at mindrevæksten har reduceret </w:t>
                      </w:r>
                      <w:r w:rsidR="008F4C26">
                        <w:rPr>
                          <w:bCs/>
                          <w:sz w:val="18"/>
                          <w:szCs w:val="18"/>
                        </w:rPr>
                        <w:t>indkomstvirkningen af omfordeling</w:t>
                      </w:r>
                      <w:r w:rsidRPr="005866F8">
                        <w:rPr>
                          <w:bCs/>
                          <w:sz w:val="18"/>
                          <w:szCs w:val="18"/>
                        </w:rPr>
                        <w:t xml:space="preserve"> for 1.-4. decil til omtrent halvdelen (46,8 pct.). Det indebærer en implicit pris på knap 7 kr. i tabt BNP per omfordelt krone efter 50 år. Efter det første årti var prisen blot 0,8 kr. i tabt BNP. At omkostningen vokser med tiden, illustrerer at der kan være en politisk tilskyndelse til at lægge vægt på relativt kortsigtede fordelingsgevinster på bekostning af langsigtede tab for den økonomiske vækst. </w:t>
                      </w:r>
                    </w:p>
                    <w:p w14:paraId="45B74399" w14:textId="77777777" w:rsidR="001A6D4D" w:rsidRPr="005866F8" w:rsidRDefault="001A6D4D" w:rsidP="001A6D4D">
                      <w:pPr>
                        <w:jc w:val="both"/>
                        <w:rPr>
                          <w:bCs/>
                          <w:sz w:val="18"/>
                          <w:szCs w:val="18"/>
                        </w:rPr>
                      </w:pPr>
                    </w:p>
                    <w:p w14:paraId="22A93068" w14:textId="2E02878A" w:rsidR="001A6D4D" w:rsidRPr="005866F8" w:rsidRDefault="001A6D4D" w:rsidP="001A6D4D">
                      <w:pPr>
                        <w:jc w:val="both"/>
                        <w:rPr>
                          <w:bCs/>
                          <w:sz w:val="18"/>
                          <w:szCs w:val="18"/>
                        </w:rPr>
                      </w:pPr>
                      <w:r w:rsidRPr="005866F8">
                        <w:rPr>
                          <w:bCs/>
                          <w:sz w:val="18"/>
                          <w:szCs w:val="18"/>
                        </w:rPr>
                        <w:t xml:space="preserve">Det skal dog understreges, at beregningen her mest </w:t>
                      </w:r>
                      <w:r w:rsidR="00AD4FB5">
                        <w:rPr>
                          <w:bCs/>
                          <w:sz w:val="18"/>
                          <w:szCs w:val="18"/>
                        </w:rPr>
                        <w:t xml:space="preserve">har </w:t>
                      </w:r>
                      <w:r w:rsidRPr="005866F8">
                        <w:rPr>
                          <w:bCs/>
                          <w:sz w:val="18"/>
                          <w:szCs w:val="18"/>
                        </w:rPr>
                        <w:t xml:space="preserve">karakter af et beregningseksempel. Den faktiske historiske udvikling i Danmark var således præget af en meget voldsom stigning i de offentlige udgifter til bl.a. fordelingspolitik i sidste halvdel af 1960erne og 1970erne og deraf følgende betydelige ubalancer i den offentlige økonomi. Det foranledigede reformer af bl.a. overførselssystemerne i perioden fra 1980erne og frem til sidste valg. </w:t>
                      </w:r>
                    </w:p>
                    <w:p w14:paraId="53C973C1" w14:textId="332E683D" w:rsidR="001A6D4D" w:rsidRDefault="001A6D4D"/>
                  </w:txbxContent>
                </v:textbox>
                <w10:wrap type="square"/>
              </v:shape>
            </w:pict>
          </mc:Fallback>
        </mc:AlternateContent>
      </w:r>
      <w:r w:rsidR="004F6B65">
        <w:rPr>
          <w:bCs/>
        </w:rPr>
        <w:t xml:space="preserve">Ifølge </w:t>
      </w:r>
      <w:r w:rsidR="002B3EDC">
        <w:rPr>
          <w:bCs/>
        </w:rPr>
        <w:t>et studie</w:t>
      </w:r>
      <w:r w:rsidR="004F6B65">
        <w:rPr>
          <w:bCs/>
        </w:rPr>
        <w:t xml:space="preserve"> af den empiriske litteratur</w:t>
      </w:r>
      <w:r w:rsidR="002B3EDC">
        <w:rPr>
          <w:bCs/>
        </w:rPr>
        <w:t xml:space="preserve"> </w:t>
      </w:r>
      <w:r w:rsidR="0029042A">
        <w:rPr>
          <w:bCs/>
        </w:rPr>
        <w:fldChar w:fldCharType="begin"/>
      </w:r>
      <w:r w:rsidR="0029042A">
        <w:rPr>
          <w:bCs/>
        </w:rPr>
        <w:instrText xml:space="preserve"> ADDIN ZOTERO_ITEM CSL_CITATION {"citationID":"YjqA0lY4","properties":{"formattedCitation":"(Bergh og Henrekson 2011)","plainCitation":"(Bergh og Henrekson 2011)","noteIndex":0},"citationItems":[{"id":2066,"uris":["http://zotero.org/users/5396370/items/T7567DDP"],"uri":["http://zotero.org/users/5396370/items/T7567DDP"],"itemData":{"id":2066,"type":"article-journal","abstract":"The literature on the relationship between the size of government and economic growth is full of seemingly contradictory findings. This conflict is largely explained by variations in definitions and the countries studied. An alternative approach – of limiting the focus to studies of the relationship in rich countries, measuring government size as total taxes or total expenditure relative to GDP and relying on panel data estimations with variation over time – reveals a more consistent picture. The most recent studies find a significant negative correlation: an increase in government size by 10 percentage points is associated with a 0.5% to 1% lower annual growth rate. We discuss efforts to make sense of this correlation, and note several pitfalls involved in giving it a causal interpretation. Against this background, we discuss two explanations of why several countries with high taxes seem able to enjoy above average growth. One hypothesis is that countries with higher social trust levels are able to develop larger government sectors without harming the economy. Another explanation is that countries with large governments compensate for high taxes and spending by implementing market‐friendly policies in other areas. Both explanations are supported by ongoing research.","container-title":"Journal of Economic Surveys","DOI":"10.1111/j.1467-6419.2011.00697.x","journalAbbreviation":"Journal of Economic Surveys","page":"872-897","source":"ResearchGate","title":"Government Size and Growth: A Survey and Interpretation of the Evidence","title-short":"Government Size and Growth","volume":"25","author":[{"family":"Bergh","given":"Andreas"},{"family":"Henrekson","given":"Magnus"}],"issued":{"date-parts":[["2011",12,1]]}}}],"schema":"https://github.com/citation-style-language/schema/raw/master/csl-citation.json"} </w:instrText>
      </w:r>
      <w:r w:rsidR="0029042A">
        <w:rPr>
          <w:bCs/>
        </w:rPr>
        <w:fldChar w:fldCharType="separate"/>
      </w:r>
      <w:r w:rsidR="0029042A" w:rsidRPr="0029042A">
        <w:t>(Bergh og Henrekson 2011)</w:t>
      </w:r>
      <w:r w:rsidR="0029042A">
        <w:rPr>
          <w:bCs/>
        </w:rPr>
        <w:fldChar w:fldCharType="end"/>
      </w:r>
      <w:r w:rsidR="004F6B65">
        <w:rPr>
          <w:bCs/>
        </w:rPr>
        <w:t xml:space="preserve">, er der konsensus om, at øgede offentlige udgifter på 10 pct. af BNP hæmmer væksten i rige lande med ½-1 pct. om året. Der er grund til formode, at især udgifter til omfordeling hæmmer væksten, mens offentligt forbrug isoleret set kan have positive effekter (selv om litteraturen finder, at også offentligt forbrug hæmmer væksten, når de negative effekter fra finansieringssiden medregnes, jf. </w:t>
      </w:r>
      <w:r w:rsidR="004F6B65">
        <w:rPr>
          <w:bCs/>
        </w:rPr>
        <w:fldChar w:fldCharType="begin"/>
      </w:r>
      <w:r w:rsidR="004F6B65">
        <w:rPr>
          <w:bCs/>
        </w:rPr>
        <w:instrText xml:space="preserve"> ADDIN ZOTERO_ITEM CSL_CITATION {"citationID":"S9jx7Qlf","properties":{"formattedCitation":"(Br\\uc0\\u248{}ns-Petersen 2017)","plainCitation":"(Br</w:instrText>
      </w:r>
      <w:r w:rsidR="004F6B65">
        <w:rPr>
          <w:rFonts w:hint="eastAsia"/>
          <w:bCs/>
        </w:rPr>
        <w:instrText>ø</w:instrText>
      </w:r>
      <w:r w:rsidR="004F6B65">
        <w:rPr>
          <w:bCs/>
        </w:rPr>
        <w:instrText>ns-Petersen 2017)","dontUpdate":true,"noteIndex":0},"citationItems":[{"id":71,"uris":["http://zotero.org/users/5396370/items/37J8YFNI"],"uri":["http://zotero.org/users/5396370/items/37J8YFNI"],"itemData":{"id":71,"type":"chapter","abstract":"During three decades, Denmark has witnessed repeated tax reforms. The corporate tax rate and some marginal tax rates on labor have been cut by almost 30 percentage points. Economic theory as well as international empirical data point to a potential for economic growth, especially by reducing high marginal tax rates. In this chapter, the combined effect of 30 years of Danish tax reform is estimated to have increased GDP by almost 10 percent, and economic welfare by the equivalent of 6 percent of GDP. Nevertheless, room remains for further reform, as Danish taxes are still very high, even if the prospect for expanding tax bases further has become slim.","collection-title":"Palgrave Macmillan Studies in Banking and Financial Institutions","container-title":"Taxation in Crisis: Tax Policy and the Quest for Economic Growth","event-place":"Cham","ISBN":"978-3-319-65310-5","language":"en","note":"DOI: 10.1007/978-3-319-65310-5_6","page":"121-144","publisher":"Springer International Publishing","publisher-place":"Cham","source":"Springer Link","title":"30 Years of Tax Reforms: How Much Impact on Danish Growth?","title-short":"30 Years of Tax Reforms","URL":"https://doi.org/10.1007/978-3-319-65310-5_6","author":[{"family":"Br</w:instrText>
      </w:r>
      <w:r w:rsidR="004F6B65">
        <w:rPr>
          <w:rFonts w:hint="eastAsia"/>
          <w:bCs/>
        </w:rPr>
        <w:instrText>ø</w:instrText>
      </w:r>
      <w:r w:rsidR="004F6B65">
        <w:rPr>
          <w:bCs/>
        </w:rPr>
        <w:instrText xml:space="preserve">ns-Petersen","given":"Otto"}],"editor":[{"family":"Thomakos","given":"Dimitrios D."},{"family":"Nikolopoulos","given":"Konstantinos I."}],"accessed":{"date-parts":[["2018",12,18]]},"issued":{"date-parts":[["2017"]]}}}],"schema":"https://github.com/citation-style-language/schema/raw/master/csl-citation.json"} </w:instrText>
      </w:r>
      <w:r w:rsidR="004F6B65">
        <w:rPr>
          <w:bCs/>
        </w:rPr>
        <w:fldChar w:fldCharType="separate"/>
      </w:r>
      <w:r w:rsidR="004F6B65" w:rsidRPr="00111F6E">
        <w:rPr>
          <w:szCs w:val="24"/>
        </w:rPr>
        <w:t>Brøns-Petersen 2017)</w:t>
      </w:r>
      <w:r w:rsidR="004F6B65">
        <w:rPr>
          <w:bCs/>
        </w:rPr>
        <w:fldChar w:fldCharType="end"/>
      </w:r>
      <w:r w:rsidR="004F6B65">
        <w:rPr>
          <w:bCs/>
        </w:rPr>
        <w:t xml:space="preserve">. Det er dog et centralt spørgsmål, om omfordeling på lang sigt reducerer vækstraten eller niveauet for BNP (således at den negative effekt på vækstraten ebber ud), når man betragter så lange tidsperioder, som der er tale om i dette notat. Derfor er det vanskeligt at </w:t>
      </w:r>
      <w:r w:rsidR="004F6B65">
        <w:rPr>
          <w:bCs/>
        </w:rPr>
        <w:lastRenderedPageBreak/>
        <w:t>bedømme effekten af fordelingspolitikken over den betragtede periode.</w:t>
      </w:r>
      <w:r w:rsidR="005866F8">
        <w:rPr>
          <w:bCs/>
        </w:rPr>
        <w:t xml:space="preserve"> I boksen er angivet et beregningseksempel</w:t>
      </w:r>
      <w:r w:rsidR="00F169F1">
        <w:rPr>
          <w:bCs/>
        </w:rPr>
        <w:t xml:space="preserve"> for, hvad fordelingspolitikken kan medført i tab af økonomisk vækst.</w:t>
      </w:r>
    </w:p>
    <w:p w14:paraId="344BFEF8" w14:textId="19BC043C" w:rsidR="004F6B65" w:rsidRDefault="006766C3" w:rsidP="00FC02A8">
      <w:pPr>
        <w:jc w:val="both"/>
        <w:rPr>
          <w:rFonts w:ascii="Bebas Neue" w:eastAsiaTheme="majorEastAsia" w:hAnsi="Bebas Neue" w:cstheme="majorBidi"/>
          <w:color w:val="07385E"/>
          <w:sz w:val="36"/>
          <w:szCs w:val="36"/>
        </w:rPr>
      </w:pPr>
      <w:r w:rsidRPr="009D40C1">
        <w:rPr>
          <w:rFonts w:ascii="Bebas Neue" w:eastAsiaTheme="majorEastAsia" w:hAnsi="Bebas Neue" w:cstheme="majorBidi"/>
          <w:bCs/>
          <w:color w:val="07385E"/>
          <w:sz w:val="36"/>
          <w:szCs w:val="36"/>
        </w:rPr>
        <w:t xml:space="preserve">4. </w:t>
      </w:r>
      <w:r w:rsidR="00412A79" w:rsidRPr="009D40C1">
        <w:rPr>
          <w:rFonts w:ascii="Bebas Neue" w:eastAsiaTheme="majorEastAsia" w:hAnsi="Bebas Neue" w:cstheme="majorBidi"/>
          <w:bCs/>
          <w:color w:val="07385E"/>
          <w:sz w:val="36"/>
          <w:szCs w:val="36"/>
        </w:rPr>
        <w:t xml:space="preserve">Væksten i de laveste indkomsters indkomstandel er toppet </w:t>
      </w:r>
      <w:r w:rsidR="009D40C1" w:rsidRPr="009D40C1">
        <w:rPr>
          <w:rFonts w:ascii="Bebas Neue" w:eastAsiaTheme="majorEastAsia" w:hAnsi="Bebas Neue" w:cstheme="majorBidi"/>
          <w:bCs/>
          <w:color w:val="07385E"/>
          <w:sz w:val="36"/>
          <w:szCs w:val="36"/>
        </w:rPr>
        <w:t>for tre årtier siden</w:t>
      </w:r>
    </w:p>
    <w:p w14:paraId="74312355" w14:textId="02E2A147" w:rsidR="00D1678F" w:rsidRDefault="0015305D" w:rsidP="00FC02A8">
      <w:pPr>
        <w:jc w:val="both"/>
        <w:rPr>
          <w:bCs/>
        </w:rPr>
      </w:pPr>
      <w:r w:rsidRPr="0015305D">
        <w:rPr>
          <w:bCs/>
        </w:rPr>
        <w:t>Fordel</w:t>
      </w:r>
      <w:r w:rsidR="00F7112F">
        <w:rPr>
          <w:bCs/>
        </w:rPr>
        <w:t>ingspolitikken kan kun drive fortsat indkomstvækst</w:t>
      </w:r>
      <w:r w:rsidR="008C48B6">
        <w:rPr>
          <w:bCs/>
        </w:rPr>
        <w:t xml:space="preserve"> for lavindkomsterne</w:t>
      </w:r>
      <w:r w:rsidR="00B87840">
        <w:rPr>
          <w:bCs/>
        </w:rPr>
        <w:t xml:space="preserve">, så længe den </w:t>
      </w:r>
      <w:r w:rsidR="008C48B6">
        <w:rPr>
          <w:bCs/>
        </w:rPr>
        <w:t xml:space="preserve">skærpes, så </w:t>
      </w:r>
      <w:r w:rsidR="00B41381">
        <w:rPr>
          <w:bCs/>
        </w:rPr>
        <w:t xml:space="preserve">gruppens indkomstandel vokser. </w:t>
      </w:r>
      <w:r w:rsidR="008C77FB">
        <w:rPr>
          <w:bCs/>
        </w:rPr>
        <w:t xml:space="preserve">Både økonomiske og politiske forhold kan imidlertid sætte en grænse for, hvor omfattende </w:t>
      </w:r>
      <w:r w:rsidR="00A02F48">
        <w:rPr>
          <w:bCs/>
        </w:rPr>
        <w:t xml:space="preserve">omfordelingen kan blive. Når samfundet når denne grænse, </w:t>
      </w:r>
      <w:r w:rsidR="009A357A">
        <w:rPr>
          <w:bCs/>
        </w:rPr>
        <w:t xml:space="preserve">er det således også for lavindkomsterne kun muligt at øge levestandarden </w:t>
      </w:r>
      <w:r w:rsidR="00582D15">
        <w:rPr>
          <w:bCs/>
        </w:rPr>
        <w:t>gennem økonomisk vækst.</w:t>
      </w:r>
    </w:p>
    <w:p w14:paraId="644A96B8" w14:textId="77777777" w:rsidR="00D1678F" w:rsidRDefault="00D1678F" w:rsidP="00FC02A8">
      <w:pPr>
        <w:jc w:val="both"/>
        <w:rPr>
          <w:bCs/>
        </w:rPr>
      </w:pPr>
    </w:p>
    <w:p w14:paraId="5CFB35FB" w14:textId="6E28901D" w:rsidR="009D40C1" w:rsidRDefault="00B41381" w:rsidP="00FC02A8">
      <w:pPr>
        <w:jc w:val="both"/>
        <w:rPr>
          <w:bCs/>
        </w:rPr>
      </w:pPr>
      <w:r>
        <w:rPr>
          <w:bCs/>
        </w:rPr>
        <w:t xml:space="preserve">I Danmark steg andelen som </w:t>
      </w:r>
      <w:r w:rsidR="001877C9">
        <w:rPr>
          <w:bCs/>
        </w:rPr>
        <w:t xml:space="preserve">nævnt </w:t>
      </w:r>
      <w:r w:rsidR="00474FF0">
        <w:rPr>
          <w:bCs/>
        </w:rPr>
        <w:t>ved indførelsen og udbygningen af velfærdsstaten.</w:t>
      </w:r>
      <w:r w:rsidR="000A7610">
        <w:rPr>
          <w:bCs/>
        </w:rPr>
        <w:t xml:space="preserve"> De laveste fire decilers indkomstandel toppede imidlertid </w:t>
      </w:r>
      <w:r w:rsidR="002E4138">
        <w:rPr>
          <w:bCs/>
        </w:rPr>
        <w:t>i</w:t>
      </w:r>
      <w:r w:rsidR="000A7610">
        <w:rPr>
          <w:bCs/>
        </w:rPr>
        <w:t xml:space="preserve"> begyndelsen af 1990erne, således som det fremgår af figur 2.</w:t>
      </w:r>
    </w:p>
    <w:p w14:paraId="252D97CE" w14:textId="77777777" w:rsidR="00F25CFE" w:rsidRDefault="00F25CFE" w:rsidP="00FC02A8">
      <w:pPr>
        <w:jc w:val="both"/>
        <w:rPr>
          <w:bCs/>
        </w:rPr>
      </w:pPr>
    </w:p>
    <w:tbl>
      <w:tblPr>
        <w:tblStyle w:val="Tabel-Gitter"/>
        <w:tblW w:w="0" w:type="auto"/>
        <w:tblLayout w:type="fixed"/>
        <w:tblLook w:val="04A0" w:firstRow="1" w:lastRow="0" w:firstColumn="1" w:lastColumn="0" w:noHBand="0" w:noVBand="1"/>
      </w:tblPr>
      <w:tblGrid>
        <w:gridCol w:w="9149"/>
      </w:tblGrid>
      <w:tr w:rsidR="00B3220D" w14:paraId="618E65F2" w14:textId="77777777" w:rsidTr="00B3220D">
        <w:trPr>
          <w:trHeight w:val="371"/>
        </w:trPr>
        <w:tc>
          <w:tcPr>
            <w:tcW w:w="9149" w:type="dxa"/>
            <w:tcBorders>
              <w:top w:val="single" w:sz="4" w:space="0" w:color="auto"/>
              <w:left w:val="single" w:sz="4" w:space="0" w:color="auto"/>
              <w:bottom w:val="single" w:sz="4" w:space="0" w:color="auto"/>
              <w:right w:val="single" w:sz="4" w:space="0" w:color="auto"/>
            </w:tcBorders>
            <w:shd w:val="clear" w:color="auto" w:fill="004874"/>
            <w:hideMark/>
          </w:tcPr>
          <w:p w14:paraId="7DB345EC" w14:textId="3E4AC389" w:rsidR="00B3220D" w:rsidRDefault="00B3220D">
            <w:pPr>
              <w:jc w:val="both"/>
              <w:rPr>
                <w:bCs/>
              </w:rPr>
            </w:pPr>
            <w:r>
              <w:rPr>
                <w:bCs/>
              </w:rPr>
              <w:t>Figur 2. 1.-4. decils andel af disponibel indkomst 1987-2019</w:t>
            </w:r>
          </w:p>
        </w:tc>
      </w:tr>
      <w:tr w:rsidR="00B3220D" w14:paraId="5AA2144D" w14:textId="77777777" w:rsidTr="00B3220D">
        <w:trPr>
          <w:trHeight w:val="6934"/>
        </w:trPr>
        <w:tc>
          <w:tcPr>
            <w:tcW w:w="9149" w:type="dxa"/>
            <w:tcBorders>
              <w:top w:val="single" w:sz="4" w:space="0" w:color="auto"/>
              <w:left w:val="single" w:sz="4" w:space="0" w:color="auto"/>
              <w:bottom w:val="nil"/>
              <w:right w:val="single" w:sz="4" w:space="0" w:color="auto"/>
            </w:tcBorders>
            <w:shd w:val="clear" w:color="auto" w:fill="FFFFFF" w:themeFill="background1"/>
            <w:hideMark/>
          </w:tcPr>
          <w:p w14:paraId="2EE9CE74" w14:textId="502B5DB8" w:rsidR="00B3220D" w:rsidRPr="00736C04" w:rsidRDefault="00B3220D">
            <w:pPr>
              <w:jc w:val="both"/>
              <w:rPr>
                <w:bCs/>
                <w:color w:val="004874"/>
              </w:rPr>
            </w:pPr>
            <w:r w:rsidRPr="00736C04">
              <w:rPr>
                <w:noProof/>
                <w:color w:val="004874"/>
              </w:rPr>
              <w:drawing>
                <wp:inline distT="0" distB="0" distL="0" distR="0" wp14:anchorId="2AB747BE" wp14:editId="425CE099">
                  <wp:extent cx="5605154" cy="4310743"/>
                  <wp:effectExtent l="0" t="0" r="14605" b="13970"/>
                  <wp:docPr id="1" name="Diagram 1">
                    <a:extLst xmlns:a="http://schemas.openxmlformats.org/drawingml/2006/main">
                      <a:ext uri="{FF2B5EF4-FFF2-40B4-BE49-F238E27FC236}">
                        <a16:creationId xmlns:a16="http://schemas.microsoft.com/office/drawing/2014/main" id="{7D5FC3A0-A6BE-4578-90D2-B7D5B5F52C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B3220D" w14:paraId="5226CC8F" w14:textId="77777777" w:rsidTr="00B3220D">
        <w:trPr>
          <w:trHeight w:val="255"/>
        </w:trPr>
        <w:tc>
          <w:tcPr>
            <w:tcW w:w="9149" w:type="dxa"/>
            <w:tcBorders>
              <w:top w:val="nil"/>
              <w:left w:val="single" w:sz="4" w:space="0" w:color="auto"/>
              <w:bottom w:val="single" w:sz="4" w:space="0" w:color="auto"/>
              <w:right w:val="single" w:sz="4" w:space="0" w:color="auto"/>
            </w:tcBorders>
            <w:shd w:val="clear" w:color="auto" w:fill="FFFFFF" w:themeFill="background1"/>
            <w:hideMark/>
          </w:tcPr>
          <w:p w14:paraId="16F1B7D9" w14:textId="77777777" w:rsidR="00B3220D" w:rsidRDefault="00B3220D">
            <w:pPr>
              <w:tabs>
                <w:tab w:val="left" w:pos="5937"/>
              </w:tabs>
              <w:jc w:val="both"/>
              <w:rPr>
                <w:rFonts w:ascii="Raleway" w:hAnsi="Raleway"/>
                <w:bCs/>
                <w:i/>
                <w:iCs/>
                <w:color w:val="323435" w:themeColor="text1"/>
                <w:sz w:val="16"/>
                <w:szCs w:val="16"/>
              </w:rPr>
            </w:pPr>
            <w:r>
              <w:rPr>
                <w:rFonts w:ascii="Raleway" w:hAnsi="Raleway"/>
                <w:bCs/>
                <w:i/>
                <w:iCs/>
                <w:color w:val="323435" w:themeColor="text1"/>
                <w:sz w:val="16"/>
                <w:szCs w:val="16"/>
              </w:rPr>
              <w:t>Kilde:</w:t>
            </w:r>
            <w:r>
              <w:rPr>
                <w:rFonts w:ascii="Raleway" w:hAnsi="Raleway"/>
                <w:bCs/>
                <w:color w:val="323435" w:themeColor="text1"/>
                <w:sz w:val="16"/>
                <w:szCs w:val="16"/>
              </w:rPr>
              <w:t xml:space="preserve"> </w:t>
            </w:r>
            <w:r>
              <w:rPr>
                <w:rFonts w:ascii="Raleway" w:hAnsi="Raleway"/>
                <w:bCs/>
                <w:i/>
                <w:iCs/>
                <w:color w:val="323435" w:themeColor="text1"/>
                <w:sz w:val="16"/>
                <w:szCs w:val="16"/>
              </w:rPr>
              <w:t>Egne beregninger</w:t>
            </w:r>
            <w:r>
              <w:rPr>
                <w:rFonts w:ascii="Raleway" w:hAnsi="Raleway"/>
                <w:bCs/>
                <w:i/>
                <w:iCs/>
                <w:color w:val="323435" w:themeColor="text1"/>
                <w:sz w:val="16"/>
                <w:szCs w:val="16"/>
              </w:rPr>
              <w:tab/>
            </w:r>
          </w:p>
        </w:tc>
      </w:tr>
    </w:tbl>
    <w:p w14:paraId="2F6AB68A" w14:textId="3647B399" w:rsidR="00B3220D" w:rsidRDefault="00B3220D" w:rsidP="00FC02A8">
      <w:pPr>
        <w:jc w:val="both"/>
        <w:rPr>
          <w:bCs/>
        </w:rPr>
      </w:pPr>
    </w:p>
    <w:p w14:paraId="65EA9F32" w14:textId="6647C4A6" w:rsidR="00B3220D" w:rsidRDefault="00B3220D" w:rsidP="00FC02A8">
      <w:pPr>
        <w:jc w:val="both"/>
        <w:rPr>
          <w:bCs/>
        </w:rPr>
      </w:pPr>
    </w:p>
    <w:p w14:paraId="099AFD3E" w14:textId="19F1EE58" w:rsidR="000271F9" w:rsidRDefault="000271F9" w:rsidP="00FC02A8">
      <w:pPr>
        <w:jc w:val="both"/>
        <w:rPr>
          <w:bCs/>
        </w:rPr>
      </w:pPr>
    </w:p>
    <w:p w14:paraId="799B156F" w14:textId="3769FE81" w:rsidR="00C02BBF" w:rsidRDefault="005E368B" w:rsidP="00FC02A8">
      <w:pPr>
        <w:jc w:val="both"/>
        <w:rPr>
          <w:bCs/>
        </w:rPr>
      </w:pPr>
      <w:r>
        <w:rPr>
          <w:bCs/>
        </w:rPr>
        <w:lastRenderedPageBreak/>
        <w:t xml:space="preserve">Opgjort ækvivaleret </w:t>
      </w:r>
      <w:r w:rsidR="00943CAC">
        <w:rPr>
          <w:bCs/>
        </w:rPr>
        <w:t xml:space="preserve">lå toppunktet i 1995, mens det </w:t>
      </w:r>
      <w:r w:rsidR="00D0795F">
        <w:rPr>
          <w:bCs/>
        </w:rPr>
        <w:t>for</w:t>
      </w:r>
      <w:r w:rsidR="00A0646F">
        <w:rPr>
          <w:bCs/>
        </w:rPr>
        <w:t xml:space="preserve"> ikke-ækvivaleret familieniveau </w:t>
      </w:r>
      <w:r w:rsidR="003368C8">
        <w:rPr>
          <w:bCs/>
        </w:rPr>
        <w:t>lå i 1991</w:t>
      </w:r>
      <w:r w:rsidR="00F9555F">
        <w:rPr>
          <w:bCs/>
        </w:rPr>
        <w:t xml:space="preserve">. </w:t>
      </w:r>
      <w:r w:rsidR="00E3350E">
        <w:rPr>
          <w:bCs/>
        </w:rPr>
        <w:t xml:space="preserve">I den efterfølgende periode har den økonomiske vækst altså </w:t>
      </w:r>
      <w:r w:rsidR="0071006E">
        <w:rPr>
          <w:bCs/>
        </w:rPr>
        <w:t xml:space="preserve">ydet et bidrag, som overstiger den samlede velstandsstigning. </w:t>
      </w:r>
    </w:p>
    <w:p w14:paraId="2021326D" w14:textId="349845F5" w:rsidR="00D5190C" w:rsidRDefault="00D5190C" w:rsidP="00FC02A8">
      <w:pPr>
        <w:jc w:val="both"/>
        <w:rPr>
          <w:bCs/>
        </w:rPr>
      </w:pPr>
    </w:p>
    <w:p w14:paraId="46E09DAB" w14:textId="77777777" w:rsidR="005C7AFE" w:rsidRDefault="005C7AFE" w:rsidP="00FC02A8">
      <w:pPr>
        <w:jc w:val="both"/>
        <w:rPr>
          <w:bCs/>
        </w:rPr>
      </w:pPr>
    </w:p>
    <w:p w14:paraId="5015195C" w14:textId="7905E549" w:rsidR="00790BAA" w:rsidRPr="00C343FF" w:rsidRDefault="001B45B6" w:rsidP="00FC02A8">
      <w:pPr>
        <w:jc w:val="both"/>
        <w:rPr>
          <w:rFonts w:ascii="Bebas Neue" w:eastAsiaTheme="majorEastAsia" w:hAnsi="Bebas Neue" w:cstheme="majorBidi"/>
          <w:bCs/>
          <w:color w:val="07385E"/>
          <w:sz w:val="36"/>
          <w:szCs w:val="36"/>
        </w:rPr>
      </w:pPr>
      <w:r>
        <w:rPr>
          <w:rFonts w:ascii="Bebas Neue" w:eastAsiaTheme="majorEastAsia" w:hAnsi="Bebas Neue" w:cstheme="majorBidi"/>
          <w:bCs/>
          <w:color w:val="07385E"/>
          <w:sz w:val="36"/>
          <w:szCs w:val="36"/>
        </w:rPr>
        <w:t>5</w:t>
      </w:r>
      <w:r w:rsidR="00C343FF">
        <w:rPr>
          <w:rFonts w:ascii="Bebas Neue" w:eastAsiaTheme="majorEastAsia" w:hAnsi="Bebas Neue" w:cstheme="majorBidi"/>
          <w:bCs/>
          <w:color w:val="07385E"/>
          <w:sz w:val="36"/>
          <w:szCs w:val="36"/>
        </w:rPr>
        <w:t xml:space="preserve">. </w:t>
      </w:r>
      <w:r w:rsidR="003159B5" w:rsidRPr="00C343FF">
        <w:rPr>
          <w:rFonts w:ascii="Bebas Neue" w:eastAsiaTheme="majorEastAsia" w:hAnsi="Bebas Neue" w:cstheme="majorBidi"/>
          <w:bCs/>
          <w:color w:val="07385E"/>
          <w:sz w:val="36"/>
          <w:szCs w:val="36"/>
        </w:rPr>
        <w:t xml:space="preserve">Sådan er </w:t>
      </w:r>
      <w:r w:rsidR="003A5CBD" w:rsidRPr="00C343FF">
        <w:rPr>
          <w:rFonts w:ascii="Bebas Neue" w:eastAsiaTheme="majorEastAsia" w:hAnsi="Bebas Neue" w:cstheme="majorBidi"/>
          <w:bCs/>
          <w:color w:val="07385E"/>
          <w:sz w:val="36"/>
          <w:szCs w:val="36"/>
        </w:rPr>
        <w:t>beregningerne foretaget</w:t>
      </w:r>
    </w:p>
    <w:p w14:paraId="0D37DA69" w14:textId="3E53B1B9" w:rsidR="007833DB" w:rsidRDefault="003A5CBD" w:rsidP="00FC02A8">
      <w:pPr>
        <w:jc w:val="both"/>
        <w:rPr>
          <w:bCs/>
        </w:rPr>
      </w:pPr>
      <w:r>
        <w:rPr>
          <w:bCs/>
        </w:rPr>
        <w:t xml:space="preserve">Beregningerne tager udgangspunkt i </w:t>
      </w:r>
      <w:r w:rsidR="007F576B">
        <w:rPr>
          <w:bCs/>
        </w:rPr>
        <w:t xml:space="preserve">de sparsomme oplysninger, der foreligger om indkomstfordelingen for 100 år siden. </w:t>
      </w:r>
      <w:r w:rsidR="003D5DEC">
        <w:rPr>
          <w:bCs/>
        </w:rPr>
        <w:t xml:space="preserve">Den er opgjort </w:t>
      </w:r>
      <w:r w:rsidR="00003409">
        <w:rPr>
          <w:bCs/>
        </w:rPr>
        <w:t xml:space="preserve">af </w:t>
      </w:r>
      <w:r w:rsidR="0034078F">
        <w:rPr>
          <w:bCs/>
        </w:rPr>
        <w:fldChar w:fldCharType="begin"/>
      </w:r>
      <w:r w:rsidR="0029042A">
        <w:rPr>
          <w:bCs/>
        </w:rPr>
        <w:instrText xml:space="preserve"> ADDIN ZOTERO_ITEM CSL_CITATION {"citationID":"7jMnHxra","properties":{"formattedCitation":"(Atkinson og S\\uc0\\u248{}gaard 2013)","plainCitation":"(Atkinson og Søgaard 2013)","dontUpdate":true,"noteIndex":0},"citationItems":[{"id":2063,"uris":["http://zotero.org/users/5396370/items/HKAVSNXL"],"uri":["http://zotero.org/users/5396370/items/HKAVSNXL"],"itemData":{"id":2063,"type":"article-journal","abstract":"We use historical publications and – for more recent years – micro-data from the income tax and wealth tax returns to estimate the development in income inequality in Denmark over the last 140 years. The paper breaks new ground in treating the specific features of the Danish Tax system and in analysing the implications of the switch from joint to individual taxation. We show that income inequality have declined substantially over the last century with an income share for the top 1 per cent dropping from 27.6 per cent from its peak in 1917 to 6.4 in 2010. However the decline is not simply a secular downward trend consistent with the downward part of a Kuznets curve. Instead there seems to be several distinct phases, interleaved with periods of stability.","container-title":"EPRU working paper","language":"en","page":"49","source":"Zotero","title":"The long-run history of income inequality in Denmark: Top incomes from 1870 to 2010","author":[{"family":"Atkinson","given":"A B"},{"family":"Søgaard","given":"J E"}],"issued":{"date-parts":[["2013"]]}}}],"schema":"https://github.com/citation-style-language/schema/raw/master/csl-citation.json"} </w:instrText>
      </w:r>
      <w:r w:rsidR="0034078F">
        <w:rPr>
          <w:bCs/>
        </w:rPr>
        <w:fldChar w:fldCharType="separate"/>
      </w:r>
      <w:r w:rsidR="00840212" w:rsidRPr="00840212">
        <w:rPr>
          <w:szCs w:val="24"/>
        </w:rPr>
        <w:t xml:space="preserve">Atkinson og Søgaard </w:t>
      </w:r>
      <w:r w:rsidR="00F2113E">
        <w:rPr>
          <w:szCs w:val="24"/>
        </w:rPr>
        <w:t>(</w:t>
      </w:r>
      <w:r w:rsidR="00840212" w:rsidRPr="00840212">
        <w:rPr>
          <w:szCs w:val="24"/>
        </w:rPr>
        <w:t>2013)</w:t>
      </w:r>
      <w:r w:rsidR="0034078F">
        <w:rPr>
          <w:bCs/>
        </w:rPr>
        <w:fldChar w:fldCharType="end"/>
      </w:r>
      <w:r w:rsidR="00190FB6">
        <w:rPr>
          <w:bCs/>
        </w:rPr>
        <w:t xml:space="preserve"> på grundlag af selvangivelsesoplysninger</w:t>
      </w:r>
      <w:r w:rsidR="008C54AB">
        <w:rPr>
          <w:bCs/>
        </w:rPr>
        <w:t xml:space="preserve">, jf. tabel </w:t>
      </w:r>
      <w:r w:rsidR="008C7F62">
        <w:rPr>
          <w:bCs/>
        </w:rPr>
        <w:t>3.</w:t>
      </w:r>
      <w:r w:rsidR="00DF4AA0">
        <w:rPr>
          <w:bCs/>
        </w:rPr>
        <w:t xml:space="preserve"> Denne kilde indebærer, at </w:t>
      </w:r>
      <w:r w:rsidR="006F6682">
        <w:rPr>
          <w:bCs/>
        </w:rPr>
        <w:t>der er bedst statisti</w:t>
      </w:r>
      <w:r w:rsidR="00FD6F27">
        <w:rPr>
          <w:bCs/>
        </w:rPr>
        <w:t>k for toppen af indkomstfordelingen</w:t>
      </w:r>
      <w:r w:rsidR="00311271">
        <w:rPr>
          <w:bCs/>
        </w:rPr>
        <w:t xml:space="preserve">, og at der for den lave ende af indkomstfordelingen ikke findes en finere opdeling end </w:t>
      </w:r>
      <w:r w:rsidR="006E2146">
        <w:rPr>
          <w:bCs/>
        </w:rPr>
        <w:t xml:space="preserve">de fire laveste deciler under ét. </w:t>
      </w:r>
      <w:r w:rsidR="008A27FF">
        <w:rPr>
          <w:bCs/>
        </w:rPr>
        <w:t>Indkomsterne er samtidig kun opgjort på familieniveau frem til 19</w:t>
      </w:r>
      <w:r w:rsidR="00DB73E3">
        <w:rPr>
          <w:bCs/>
        </w:rPr>
        <w:t xml:space="preserve">65, hvor indkomstskattesystemet var </w:t>
      </w:r>
      <w:r w:rsidR="009D221A">
        <w:rPr>
          <w:bCs/>
        </w:rPr>
        <w:t>familiebaseret.</w:t>
      </w:r>
    </w:p>
    <w:p w14:paraId="2BD5E212" w14:textId="474E9A8A" w:rsidR="00F25CFE" w:rsidRDefault="00F25CFE" w:rsidP="00FC02A8">
      <w:pPr>
        <w:jc w:val="both"/>
        <w:rPr>
          <w:bCs/>
        </w:rPr>
      </w:pPr>
    </w:p>
    <w:tbl>
      <w:tblPr>
        <w:tblStyle w:val="Tabel-Gitter"/>
        <w:tblW w:w="9143" w:type="dxa"/>
        <w:tblLayout w:type="fixed"/>
        <w:tblLook w:val="04A0" w:firstRow="1" w:lastRow="0" w:firstColumn="1" w:lastColumn="0" w:noHBand="0" w:noVBand="1"/>
      </w:tblPr>
      <w:tblGrid>
        <w:gridCol w:w="9143"/>
      </w:tblGrid>
      <w:tr w:rsidR="00F25CFE" w14:paraId="5A45146B" w14:textId="77777777" w:rsidTr="00AC6352">
        <w:trPr>
          <w:trHeight w:val="141"/>
        </w:trPr>
        <w:tc>
          <w:tcPr>
            <w:tcW w:w="9143" w:type="dxa"/>
            <w:tcBorders>
              <w:top w:val="single" w:sz="4" w:space="0" w:color="auto"/>
              <w:left w:val="single" w:sz="4" w:space="0" w:color="auto"/>
              <w:bottom w:val="single" w:sz="4" w:space="0" w:color="auto"/>
              <w:right w:val="single" w:sz="4" w:space="0" w:color="auto"/>
            </w:tcBorders>
            <w:shd w:val="clear" w:color="auto" w:fill="004874"/>
            <w:hideMark/>
          </w:tcPr>
          <w:p w14:paraId="7926A2EB" w14:textId="3139CBF4" w:rsidR="00F25CFE" w:rsidRDefault="00F25CFE" w:rsidP="00E93C96">
            <w:pPr>
              <w:jc w:val="both"/>
              <w:rPr>
                <w:bCs/>
              </w:rPr>
            </w:pPr>
            <w:r>
              <w:rPr>
                <w:bCs/>
              </w:rPr>
              <w:t xml:space="preserve">Tabel 3. Historisk fordeling af disponible indkomster </w:t>
            </w:r>
          </w:p>
        </w:tc>
      </w:tr>
      <w:tr w:rsidR="00F25CFE" w14:paraId="0E2C7803" w14:textId="77777777" w:rsidTr="00AC6352">
        <w:trPr>
          <w:trHeight w:val="2658"/>
        </w:trPr>
        <w:tc>
          <w:tcPr>
            <w:tcW w:w="9143" w:type="dxa"/>
            <w:tcBorders>
              <w:top w:val="single" w:sz="4" w:space="0" w:color="auto"/>
              <w:left w:val="single" w:sz="4" w:space="0" w:color="auto"/>
              <w:bottom w:val="nil"/>
              <w:right w:val="single" w:sz="4" w:space="0" w:color="auto"/>
            </w:tcBorders>
            <w:shd w:val="clear" w:color="auto" w:fill="FFFFFF" w:themeFill="background1"/>
            <w:hideMark/>
          </w:tcPr>
          <w:p w14:paraId="272D413D" w14:textId="381235F8" w:rsidR="00F25CFE" w:rsidRPr="00736C04" w:rsidRDefault="00F25CFE" w:rsidP="00E93C96">
            <w:pPr>
              <w:jc w:val="both"/>
              <w:rPr>
                <w:bCs/>
                <w:color w:val="004874"/>
              </w:rPr>
            </w:pPr>
            <w:r>
              <w:rPr>
                <w:bCs/>
                <w:noProof/>
              </w:rPr>
              <w:drawing>
                <wp:inline distT="0" distB="0" distL="0" distR="0" wp14:anchorId="2DAD369F" wp14:editId="3FD540B3">
                  <wp:extent cx="5849620" cy="1717482"/>
                  <wp:effectExtent l="0" t="0" r="0" b="0"/>
                  <wp:docPr id="12" name="Billede 12"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bord&#10;&#10;Automatisk genereret beskrivelse"/>
                          <pic:cNvPicPr/>
                        </pic:nvPicPr>
                        <pic:blipFill rotWithShape="1">
                          <a:blip r:embed="rId14">
                            <a:extLst>
                              <a:ext uri="{28A0092B-C50C-407E-A947-70E740481C1C}">
                                <a14:useLocalDpi xmlns:a14="http://schemas.microsoft.com/office/drawing/2010/main" val="0"/>
                              </a:ext>
                            </a:extLst>
                          </a:blip>
                          <a:srcRect t="1" b="3438"/>
                          <a:stretch/>
                        </pic:blipFill>
                        <pic:spPr bwMode="auto">
                          <a:xfrm>
                            <a:off x="0" y="0"/>
                            <a:ext cx="5849620" cy="1717482"/>
                          </a:xfrm>
                          <a:prstGeom prst="rect">
                            <a:avLst/>
                          </a:prstGeom>
                          <a:ln>
                            <a:noFill/>
                          </a:ln>
                          <a:extLst>
                            <a:ext uri="{53640926-AAD7-44D8-BBD7-CCE9431645EC}">
                              <a14:shadowObscured xmlns:a14="http://schemas.microsoft.com/office/drawing/2010/main"/>
                            </a:ext>
                          </a:extLst>
                        </pic:spPr>
                      </pic:pic>
                    </a:graphicData>
                  </a:graphic>
                </wp:inline>
              </w:drawing>
            </w:r>
          </w:p>
        </w:tc>
      </w:tr>
      <w:tr w:rsidR="00F25CFE" w14:paraId="5FD614EF" w14:textId="77777777" w:rsidTr="00AC6352">
        <w:trPr>
          <w:trHeight w:val="97"/>
        </w:trPr>
        <w:tc>
          <w:tcPr>
            <w:tcW w:w="9143" w:type="dxa"/>
            <w:tcBorders>
              <w:top w:val="nil"/>
              <w:left w:val="single" w:sz="4" w:space="0" w:color="auto"/>
              <w:bottom w:val="single" w:sz="4" w:space="0" w:color="auto"/>
              <w:right w:val="single" w:sz="4" w:space="0" w:color="auto"/>
            </w:tcBorders>
            <w:shd w:val="clear" w:color="auto" w:fill="FFFFFF" w:themeFill="background1"/>
            <w:hideMark/>
          </w:tcPr>
          <w:p w14:paraId="5B04BD11" w14:textId="4EB8B514" w:rsidR="00F25CFE" w:rsidRDefault="00F25CFE" w:rsidP="00E93C96">
            <w:pPr>
              <w:tabs>
                <w:tab w:val="left" w:pos="5937"/>
              </w:tabs>
              <w:jc w:val="both"/>
              <w:rPr>
                <w:rFonts w:ascii="Raleway" w:hAnsi="Raleway"/>
                <w:bCs/>
                <w:i/>
                <w:iCs/>
                <w:color w:val="323435" w:themeColor="text1"/>
                <w:sz w:val="16"/>
                <w:szCs w:val="16"/>
              </w:rPr>
            </w:pPr>
            <w:r>
              <w:rPr>
                <w:rFonts w:ascii="Raleway" w:hAnsi="Raleway"/>
                <w:bCs/>
                <w:i/>
                <w:iCs/>
                <w:color w:val="323435" w:themeColor="text1"/>
                <w:sz w:val="16"/>
                <w:szCs w:val="16"/>
              </w:rPr>
              <w:t>Kilde:</w:t>
            </w:r>
            <w:r>
              <w:rPr>
                <w:rFonts w:ascii="Raleway" w:hAnsi="Raleway"/>
                <w:bCs/>
                <w:color w:val="323435" w:themeColor="text1"/>
                <w:sz w:val="16"/>
                <w:szCs w:val="16"/>
              </w:rPr>
              <w:t xml:space="preserve"> </w:t>
            </w:r>
            <w:r w:rsidR="00AC6352">
              <w:rPr>
                <w:rFonts w:ascii="Raleway" w:hAnsi="Raleway"/>
                <w:bCs/>
                <w:i/>
                <w:iCs/>
                <w:color w:val="323435" w:themeColor="text1"/>
                <w:sz w:val="16"/>
                <w:szCs w:val="16"/>
              </w:rPr>
              <w:t>Atkinson og Søgaard (2013)</w:t>
            </w:r>
            <w:r>
              <w:rPr>
                <w:rFonts w:ascii="Raleway" w:hAnsi="Raleway"/>
                <w:bCs/>
                <w:i/>
                <w:iCs/>
                <w:color w:val="323435" w:themeColor="text1"/>
                <w:sz w:val="16"/>
                <w:szCs w:val="16"/>
              </w:rPr>
              <w:tab/>
            </w:r>
          </w:p>
        </w:tc>
      </w:tr>
    </w:tbl>
    <w:p w14:paraId="1E3DFF0F" w14:textId="77777777" w:rsidR="003159B5" w:rsidRDefault="003159B5" w:rsidP="00FC02A8">
      <w:pPr>
        <w:jc w:val="both"/>
        <w:rPr>
          <w:bCs/>
        </w:rPr>
      </w:pPr>
    </w:p>
    <w:p w14:paraId="7BAE3251" w14:textId="1BEBD49A" w:rsidR="00A62FF0" w:rsidRDefault="002253F7" w:rsidP="00FC02A8">
      <w:pPr>
        <w:jc w:val="both"/>
        <w:rPr>
          <w:bCs/>
        </w:rPr>
      </w:pPr>
      <w:r>
        <w:rPr>
          <w:bCs/>
        </w:rPr>
        <w:t xml:space="preserve">Det giver en særlig problemstilling, at </w:t>
      </w:r>
      <w:r w:rsidR="002120C4">
        <w:rPr>
          <w:bCs/>
        </w:rPr>
        <w:t xml:space="preserve">dansk økonomi for 100 år siden var stærkt præget af </w:t>
      </w:r>
      <w:r w:rsidR="000B67AC">
        <w:rPr>
          <w:bCs/>
        </w:rPr>
        <w:t>1. verdenskrig</w:t>
      </w:r>
      <w:r w:rsidR="002872CA">
        <w:rPr>
          <w:bCs/>
        </w:rPr>
        <w:t xml:space="preserve">. </w:t>
      </w:r>
      <w:r w:rsidR="00193B79">
        <w:rPr>
          <w:bCs/>
        </w:rPr>
        <w:fldChar w:fldCharType="begin"/>
      </w:r>
      <w:r w:rsidR="0029042A">
        <w:rPr>
          <w:bCs/>
        </w:rPr>
        <w:instrText xml:space="preserve"> ADDIN ZOTERO_ITEM CSL_CITATION {"citationID":"3yq0iVYx","properties":{"formattedCitation":"(Hansen 1984)","plainCitation":"(Hansen 1984)","dontUpdate":true,"noteIndex":0},"citationItems":[{"id":2064,"uris":["http://zotero.org/users/5396370/items/5U93UDP9"],"uri":["http://zotero.org/users/5396370/items/5U93UDP9"],"itemData":{"id":2064,"type":"book","collection-number":"6","collection-title":"Publikation / Institut for økonomisk historie","edition":"3. udg","event-place":"København","ISBN":"978-87-500-2492-7","language":"dan","note":"OCLC: 254939856","number-of-pages":"386","publisher":"Akademisk Forlag","publisher-place":"København","source":"Gemeinsamer Bibliotheksverbund ISBN","title":"Økonimisk vækst i Danmark. Bd. 2: 1914 - 1983","title-short":"Økonimisk vækst i Danmark. Bd. 2","author":[{"family":"Hansen","given":"Svend Åge"}],"issued":{"date-parts":[["1984"]]}}}],"schema":"https://github.com/citation-style-language/schema/raw/master/csl-citation.json"} </w:instrText>
      </w:r>
      <w:r w:rsidR="00193B79">
        <w:rPr>
          <w:bCs/>
        </w:rPr>
        <w:fldChar w:fldCharType="separate"/>
      </w:r>
      <w:r w:rsidR="00193B79" w:rsidRPr="00193B79">
        <w:t xml:space="preserve">Hansen </w:t>
      </w:r>
      <w:r w:rsidR="00065B87">
        <w:t>(</w:t>
      </w:r>
      <w:r w:rsidR="00193B79" w:rsidRPr="00193B79">
        <w:t>1984)</w:t>
      </w:r>
      <w:r w:rsidR="00193B79">
        <w:rPr>
          <w:bCs/>
        </w:rPr>
        <w:fldChar w:fldCharType="end"/>
      </w:r>
      <w:r w:rsidR="00065B87">
        <w:rPr>
          <w:bCs/>
        </w:rPr>
        <w:t xml:space="preserve"> opgør slet ikke nationalregnskabsstatistik for</w:t>
      </w:r>
      <w:r w:rsidR="00814E2A">
        <w:rPr>
          <w:bCs/>
        </w:rPr>
        <w:t xml:space="preserve"> årene</w:t>
      </w:r>
      <w:r w:rsidR="00065B87">
        <w:rPr>
          <w:bCs/>
        </w:rPr>
        <w:t xml:space="preserve"> </w:t>
      </w:r>
      <w:r w:rsidR="00814E2A">
        <w:rPr>
          <w:bCs/>
        </w:rPr>
        <w:t xml:space="preserve">1915-20. </w:t>
      </w:r>
      <w:r w:rsidR="00BD7E8A">
        <w:rPr>
          <w:bCs/>
        </w:rPr>
        <w:t xml:space="preserve">Det centrale er imidlertid ikke at sammenligne med </w:t>
      </w:r>
      <w:r w:rsidR="009672C2">
        <w:rPr>
          <w:bCs/>
        </w:rPr>
        <w:t xml:space="preserve">atypiske år, men at afdække </w:t>
      </w:r>
      <w:r w:rsidR="008047DC">
        <w:rPr>
          <w:bCs/>
        </w:rPr>
        <w:t xml:space="preserve">den generelle tendens gennem 100 årsperioden. </w:t>
      </w:r>
      <w:r w:rsidR="00580428">
        <w:rPr>
          <w:bCs/>
        </w:rPr>
        <w:t>Det er derfor valgt at beregne nationalregnskabsdata ud fra</w:t>
      </w:r>
      <w:r w:rsidR="00E90C29">
        <w:rPr>
          <w:bCs/>
        </w:rPr>
        <w:t xml:space="preserve"> interpolation </w:t>
      </w:r>
      <w:r w:rsidR="00FC4344">
        <w:rPr>
          <w:bCs/>
        </w:rPr>
        <w:t>fra før- og efterkrigsperioden i</w:t>
      </w:r>
      <w:r w:rsidR="00580428">
        <w:rPr>
          <w:bCs/>
        </w:rPr>
        <w:t xml:space="preserve"> </w:t>
      </w:r>
      <w:r w:rsidR="00E90C29">
        <w:rPr>
          <w:bCs/>
        </w:rPr>
        <w:fldChar w:fldCharType="begin"/>
      </w:r>
      <w:r w:rsidR="0029042A">
        <w:rPr>
          <w:bCs/>
        </w:rPr>
        <w:instrText xml:space="preserve"> ADDIN ZOTERO_ITEM CSL_CITATION {"citationID":"eS5C8egU","properties":{"formattedCitation":"(Hansen 1984)","plainCitation":"(Hansen 1984)","dontUpdate":true,"noteIndex":0},"citationItems":[{"id":2064,"uris":["http://zotero.org/users/5396370/items/5U93UDP9"],"uri":["http://zotero.org/users/5396370/items/5U93UDP9"],"itemData":{"id":2064,"type":"book","collection-number":"6","collection-title":"Publikation / Institut for økonomisk historie","edition":"3. udg","event-place":"København","ISBN":"978-87-500-2492-7","language":"dan","note":"OCLC: 254939856","number-of-pages":"386","publisher":"Akademisk Forlag","publisher-place":"København","source":"Gemeinsamer Bibliotheksverbund ISBN","title":"Økonimisk vækst i Danmark. Bd. 2: 1914 - 1983","title-short":"Økonimisk vækst i Danmark. Bd. 2","author":[{"family":"Hansen","given":"Svend Åge"}],"issued":{"date-parts":[["1984"]]}}}],"schema":"https://github.com/citation-style-language/schema/raw/master/csl-citation.json"} </w:instrText>
      </w:r>
      <w:r w:rsidR="00E90C29">
        <w:rPr>
          <w:bCs/>
        </w:rPr>
        <w:fldChar w:fldCharType="separate"/>
      </w:r>
      <w:r w:rsidR="00E90C29" w:rsidRPr="00E90C29">
        <w:t xml:space="preserve">Hansen </w:t>
      </w:r>
      <w:r w:rsidR="00E90C29">
        <w:t>(</w:t>
      </w:r>
      <w:r w:rsidR="00E90C29" w:rsidRPr="00E90C29">
        <w:t>1984)</w:t>
      </w:r>
      <w:r w:rsidR="00E90C29">
        <w:rPr>
          <w:bCs/>
        </w:rPr>
        <w:fldChar w:fldCharType="end"/>
      </w:r>
      <w:r w:rsidR="009215E5">
        <w:rPr>
          <w:bCs/>
        </w:rPr>
        <w:t>.</w:t>
      </w:r>
      <w:r w:rsidR="00E90C29">
        <w:rPr>
          <w:bCs/>
        </w:rPr>
        <w:t xml:space="preserve"> </w:t>
      </w:r>
      <w:r w:rsidR="008A477C">
        <w:rPr>
          <w:bCs/>
        </w:rPr>
        <w:t>Som det ses, var den opgjorte indkomstsandel for decil 1-4 lavest i netop 1920 (der eksisterer ikke data for andre år mellem 1915 og 1935).</w:t>
      </w:r>
      <w:r w:rsidR="002F2ADB">
        <w:rPr>
          <w:bCs/>
        </w:rPr>
        <w:t xml:space="preserve"> </w:t>
      </w:r>
      <w:r w:rsidR="00C452C1">
        <w:rPr>
          <w:bCs/>
        </w:rPr>
        <w:t>Det er forsigtigt valgt</w:t>
      </w:r>
      <w:r w:rsidR="009215E5">
        <w:rPr>
          <w:bCs/>
        </w:rPr>
        <w:t xml:space="preserve"> at</w:t>
      </w:r>
      <w:r w:rsidR="00C452C1">
        <w:rPr>
          <w:bCs/>
        </w:rPr>
        <w:t xml:space="preserve"> anslå indkomstandelen for </w:t>
      </w:r>
      <w:r w:rsidR="00A62FF0">
        <w:rPr>
          <w:bCs/>
        </w:rPr>
        <w:t>de</w:t>
      </w:r>
      <w:r w:rsidR="00654CCE">
        <w:rPr>
          <w:bCs/>
        </w:rPr>
        <w:t>c</w:t>
      </w:r>
      <w:r w:rsidR="00A62FF0">
        <w:rPr>
          <w:bCs/>
        </w:rPr>
        <w:t>il 1-4 til 10 pct. af den disponible indkomst.</w:t>
      </w:r>
    </w:p>
    <w:p w14:paraId="2186A75C" w14:textId="77777777" w:rsidR="002253F7" w:rsidRDefault="002253F7" w:rsidP="00FC02A8">
      <w:pPr>
        <w:jc w:val="both"/>
        <w:rPr>
          <w:bCs/>
        </w:rPr>
      </w:pPr>
    </w:p>
    <w:p w14:paraId="402A8613" w14:textId="54ECB8BF" w:rsidR="009215E5" w:rsidRDefault="009215E5" w:rsidP="00FC02A8">
      <w:pPr>
        <w:jc w:val="both"/>
        <w:rPr>
          <w:bCs/>
        </w:rPr>
      </w:pPr>
      <w:r>
        <w:rPr>
          <w:bCs/>
        </w:rPr>
        <w:t xml:space="preserve">Den disponible indkomst </w:t>
      </w:r>
      <w:r w:rsidR="00773183">
        <w:rPr>
          <w:bCs/>
        </w:rPr>
        <w:t>i 2019 er beregnet ud fra registerdata</w:t>
      </w:r>
      <w:r w:rsidR="00095E16">
        <w:rPr>
          <w:bCs/>
        </w:rPr>
        <w:t xml:space="preserve"> fra Danmarks Statistik for</w:t>
      </w:r>
      <w:r w:rsidR="008F4B08">
        <w:rPr>
          <w:bCs/>
        </w:rPr>
        <w:t xml:space="preserve"> 2017</w:t>
      </w:r>
      <w:r w:rsidR="00095E16">
        <w:rPr>
          <w:bCs/>
        </w:rPr>
        <w:t xml:space="preserve"> fremskrevet til 2019</w:t>
      </w:r>
      <w:r w:rsidR="00793843">
        <w:rPr>
          <w:bCs/>
        </w:rPr>
        <w:t xml:space="preserve">. Enheden er som udgangspunkt familieindkomsten for at kunne sammenligne med </w:t>
      </w:r>
      <w:r w:rsidR="007A21B3">
        <w:rPr>
          <w:bCs/>
        </w:rPr>
        <w:t xml:space="preserve">1919 data, der som nævnt kun findes på familieniveau. </w:t>
      </w:r>
      <w:r w:rsidR="004B0620">
        <w:rPr>
          <w:bCs/>
        </w:rPr>
        <w:t xml:space="preserve">Som en robusthedsanalyse er der imidlertid også sammenlignet med </w:t>
      </w:r>
      <w:r w:rsidR="007066BE">
        <w:rPr>
          <w:bCs/>
        </w:rPr>
        <w:t xml:space="preserve">indkomstfordelingen i 2019 opgjort på ækvivaleret personniveau. </w:t>
      </w:r>
      <w:r w:rsidR="00426C03">
        <w:rPr>
          <w:bCs/>
        </w:rPr>
        <w:t xml:space="preserve">Den gennemsnitlige </w:t>
      </w:r>
      <w:r w:rsidR="006E1AF8">
        <w:rPr>
          <w:bCs/>
        </w:rPr>
        <w:t>disponible indk</w:t>
      </w:r>
      <w:r w:rsidR="00390A00">
        <w:rPr>
          <w:bCs/>
        </w:rPr>
        <w:t>omst</w:t>
      </w:r>
      <w:r w:rsidR="004D6E02">
        <w:rPr>
          <w:bCs/>
        </w:rPr>
        <w:t xml:space="preserve"> på familieniveau</w:t>
      </w:r>
      <w:r w:rsidR="00390A00">
        <w:rPr>
          <w:bCs/>
        </w:rPr>
        <w:t xml:space="preserve"> androg </w:t>
      </w:r>
      <w:r w:rsidR="00390A00" w:rsidRPr="00390A00">
        <w:rPr>
          <w:bCs/>
        </w:rPr>
        <w:t>373.262</w:t>
      </w:r>
      <w:r w:rsidR="00390A00">
        <w:rPr>
          <w:bCs/>
        </w:rPr>
        <w:t xml:space="preserve"> kr. for hele populationen og </w:t>
      </w:r>
      <w:r w:rsidR="004D6E02" w:rsidRPr="004D6E02">
        <w:rPr>
          <w:bCs/>
        </w:rPr>
        <w:t>155.849</w:t>
      </w:r>
      <w:r w:rsidR="004D6E02">
        <w:rPr>
          <w:bCs/>
        </w:rPr>
        <w:t xml:space="preserve"> kr. for decil 1-4. </w:t>
      </w:r>
      <w:r w:rsidR="007B63DF">
        <w:rPr>
          <w:bCs/>
        </w:rPr>
        <w:t xml:space="preserve">På ækvivaleret </w:t>
      </w:r>
      <w:r w:rsidR="007A664F">
        <w:rPr>
          <w:bCs/>
        </w:rPr>
        <w:t>individniveau udgjorde de to gennemsnit henholdsvis</w:t>
      </w:r>
      <w:r w:rsidR="00417796">
        <w:rPr>
          <w:bCs/>
        </w:rPr>
        <w:t xml:space="preserve"> </w:t>
      </w:r>
      <w:r w:rsidR="00417796" w:rsidRPr="00417796">
        <w:rPr>
          <w:bCs/>
        </w:rPr>
        <w:t>269.096</w:t>
      </w:r>
      <w:r w:rsidR="00417796">
        <w:rPr>
          <w:bCs/>
        </w:rPr>
        <w:t xml:space="preserve"> kr. og</w:t>
      </w:r>
      <w:r w:rsidR="007A664F">
        <w:rPr>
          <w:bCs/>
        </w:rPr>
        <w:t xml:space="preserve"> </w:t>
      </w:r>
      <w:r w:rsidR="00217966" w:rsidRPr="00217966">
        <w:rPr>
          <w:bCs/>
        </w:rPr>
        <w:t>150.967</w:t>
      </w:r>
      <w:r w:rsidR="00417796">
        <w:rPr>
          <w:bCs/>
        </w:rPr>
        <w:t xml:space="preserve">. </w:t>
      </w:r>
    </w:p>
    <w:p w14:paraId="2B395E27" w14:textId="77777777" w:rsidR="00AE27DC" w:rsidRDefault="00AE27DC" w:rsidP="00FC02A8">
      <w:pPr>
        <w:jc w:val="both"/>
        <w:rPr>
          <w:bCs/>
        </w:rPr>
      </w:pPr>
    </w:p>
    <w:p w14:paraId="32A4E445" w14:textId="77777777" w:rsidR="00F25CFE" w:rsidRDefault="00F25CFE" w:rsidP="00FC02A8">
      <w:pPr>
        <w:jc w:val="both"/>
        <w:rPr>
          <w:bCs/>
        </w:rPr>
      </w:pPr>
    </w:p>
    <w:p w14:paraId="213505F4" w14:textId="77777777" w:rsidR="00D7035A" w:rsidRDefault="00D7035A" w:rsidP="00FC02A8">
      <w:pPr>
        <w:jc w:val="both"/>
        <w:rPr>
          <w:bCs/>
        </w:rPr>
      </w:pPr>
    </w:p>
    <w:tbl>
      <w:tblPr>
        <w:tblStyle w:val="Tabel-Gitter"/>
        <w:tblW w:w="9143" w:type="dxa"/>
        <w:tblLayout w:type="fixed"/>
        <w:tblLook w:val="04A0" w:firstRow="1" w:lastRow="0" w:firstColumn="1" w:lastColumn="0" w:noHBand="0" w:noVBand="1"/>
      </w:tblPr>
      <w:tblGrid>
        <w:gridCol w:w="9143"/>
      </w:tblGrid>
      <w:tr w:rsidR="00AC6352" w14:paraId="4DD59C06" w14:textId="77777777" w:rsidTr="00E93C96">
        <w:trPr>
          <w:trHeight w:val="141"/>
        </w:trPr>
        <w:tc>
          <w:tcPr>
            <w:tcW w:w="9143" w:type="dxa"/>
            <w:tcBorders>
              <w:top w:val="single" w:sz="4" w:space="0" w:color="auto"/>
              <w:left w:val="single" w:sz="4" w:space="0" w:color="auto"/>
              <w:bottom w:val="single" w:sz="4" w:space="0" w:color="auto"/>
              <w:right w:val="single" w:sz="4" w:space="0" w:color="auto"/>
            </w:tcBorders>
            <w:shd w:val="clear" w:color="auto" w:fill="004874"/>
            <w:hideMark/>
          </w:tcPr>
          <w:p w14:paraId="1B34A61E" w14:textId="4C135D7A" w:rsidR="00AC6352" w:rsidRDefault="00AC6352" w:rsidP="00E93C96">
            <w:pPr>
              <w:jc w:val="both"/>
              <w:rPr>
                <w:bCs/>
              </w:rPr>
            </w:pPr>
            <w:r>
              <w:rPr>
                <w:bCs/>
              </w:rPr>
              <w:t>Tabel 4.  Disponible indkomster og indkomstandele</w:t>
            </w:r>
          </w:p>
        </w:tc>
      </w:tr>
      <w:tr w:rsidR="00AC6352" w14:paraId="2D5BD9E8" w14:textId="77777777" w:rsidTr="00E93C96">
        <w:trPr>
          <w:trHeight w:val="2658"/>
        </w:trPr>
        <w:tc>
          <w:tcPr>
            <w:tcW w:w="9143" w:type="dxa"/>
            <w:tcBorders>
              <w:top w:val="single" w:sz="4" w:space="0" w:color="auto"/>
              <w:left w:val="single" w:sz="4" w:space="0" w:color="auto"/>
              <w:bottom w:val="nil"/>
              <w:right w:val="single" w:sz="4" w:space="0" w:color="auto"/>
            </w:tcBorders>
            <w:shd w:val="clear" w:color="auto" w:fill="FFFFFF" w:themeFill="background1"/>
            <w:hideMark/>
          </w:tcPr>
          <w:tbl>
            <w:tblPr>
              <w:tblStyle w:val="Tabel-Gitter"/>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0"/>
              <w:gridCol w:w="2288"/>
              <w:gridCol w:w="1392"/>
              <w:gridCol w:w="2293"/>
              <w:gridCol w:w="1389"/>
            </w:tblGrid>
            <w:tr w:rsidR="00AC6352" w14:paraId="1268FE8F" w14:textId="77777777" w:rsidTr="00531469">
              <w:tc>
                <w:tcPr>
                  <w:tcW w:w="1840" w:type="dxa"/>
                </w:tcPr>
                <w:p w14:paraId="68F5E9FA" w14:textId="77777777" w:rsidR="00AC6352" w:rsidRPr="00531469" w:rsidRDefault="00AC6352" w:rsidP="00AC6352">
                  <w:pPr>
                    <w:jc w:val="both"/>
                    <w:rPr>
                      <w:b/>
                    </w:rPr>
                  </w:pPr>
                </w:p>
              </w:tc>
              <w:tc>
                <w:tcPr>
                  <w:tcW w:w="2288" w:type="dxa"/>
                </w:tcPr>
                <w:p w14:paraId="3D1E1009" w14:textId="53A6930A" w:rsidR="00AC6352" w:rsidRPr="00531469" w:rsidRDefault="00AC6352" w:rsidP="00AC6352">
                  <w:pPr>
                    <w:jc w:val="both"/>
                    <w:rPr>
                      <w:b/>
                    </w:rPr>
                  </w:pPr>
                  <w:r w:rsidRPr="00531469">
                    <w:rPr>
                      <w:b/>
                    </w:rPr>
                    <w:t>Disponibel</w:t>
                  </w:r>
                  <w:r w:rsidR="00531469" w:rsidRPr="00531469">
                    <w:rPr>
                      <w:b/>
                    </w:rPr>
                    <w:t xml:space="preserve"> </w:t>
                  </w:r>
                  <w:r w:rsidRPr="00531469">
                    <w:rPr>
                      <w:b/>
                    </w:rPr>
                    <w:t>indkomst, familie baseret</w:t>
                  </w:r>
                </w:p>
              </w:tc>
              <w:tc>
                <w:tcPr>
                  <w:tcW w:w="1392" w:type="dxa"/>
                </w:tcPr>
                <w:p w14:paraId="4559F88B" w14:textId="77777777" w:rsidR="00AC6352" w:rsidRPr="00531469" w:rsidRDefault="00AC6352" w:rsidP="00AC6352">
                  <w:pPr>
                    <w:jc w:val="both"/>
                    <w:rPr>
                      <w:b/>
                    </w:rPr>
                  </w:pPr>
                </w:p>
              </w:tc>
              <w:tc>
                <w:tcPr>
                  <w:tcW w:w="2293" w:type="dxa"/>
                </w:tcPr>
                <w:p w14:paraId="305E55A2" w14:textId="77777777" w:rsidR="00531469" w:rsidRPr="00531469" w:rsidRDefault="00AC6352" w:rsidP="00AC6352">
                  <w:pPr>
                    <w:jc w:val="both"/>
                    <w:rPr>
                      <w:b/>
                    </w:rPr>
                  </w:pPr>
                  <w:r w:rsidRPr="00531469">
                    <w:rPr>
                      <w:b/>
                    </w:rPr>
                    <w:t>Disponibel indkomst, ækvivaleret</w:t>
                  </w:r>
                </w:p>
                <w:p w14:paraId="27A0CD15" w14:textId="4538D55E" w:rsidR="00AC6352" w:rsidRPr="00531469" w:rsidRDefault="00AC6352" w:rsidP="00AC6352">
                  <w:pPr>
                    <w:jc w:val="both"/>
                    <w:rPr>
                      <w:b/>
                    </w:rPr>
                  </w:pPr>
                  <w:r w:rsidRPr="00531469">
                    <w:rPr>
                      <w:b/>
                    </w:rPr>
                    <w:t>individniveau</w:t>
                  </w:r>
                </w:p>
              </w:tc>
              <w:tc>
                <w:tcPr>
                  <w:tcW w:w="1389" w:type="dxa"/>
                </w:tcPr>
                <w:p w14:paraId="5EE85746" w14:textId="77777777" w:rsidR="00AC6352" w:rsidRDefault="00AC6352" w:rsidP="00AC6352">
                  <w:pPr>
                    <w:jc w:val="both"/>
                    <w:rPr>
                      <w:bCs/>
                    </w:rPr>
                  </w:pPr>
                </w:p>
              </w:tc>
            </w:tr>
            <w:tr w:rsidR="00AC6352" w14:paraId="700EDA50" w14:textId="77777777" w:rsidTr="00531469">
              <w:tc>
                <w:tcPr>
                  <w:tcW w:w="1840" w:type="dxa"/>
                </w:tcPr>
                <w:p w14:paraId="60FA7D87" w14:textId="77777777" w:rsidR="00AC6352" w:rsidRDefault="00AC6352" w:rsidP="00AC6352">
                  <w:pPr>
                    <w:jc w:val="both"/>
                    <w:rPr>
                      <w:bCs/>
                    </w:rPr>
                  </w:pPr>
                </w:p>
              </w:tc>
              <w:tc>
                <w:tcPr>
                  <w:tcW w:w="2288" w:type="dxa"/>
                </w:tcPr>
                <w:p w14:paraId="04AE8C1F" w14:textId="77777777" w:rsidR="00AC6352" w:rsidRDefault="00AC6352" w:rsidP="00AC6352">
                  <w:pPr>
                    <w:jc w:val="both"/>
                    <w:rPr>
                      <w:bCs/>
                    </w:rPr>
                  </w:pPr>
                  <w:r>
                    <w:rPr>
                      <w:bCs/>
                    </w:rPr>
                    <w:t>kr.</w:t>
                  </w:r>
                </w:p>
              </w:tc>
              <w:tc>
                <w:tcPr>
                  <w:tcW w:w="1392" w:type="dxa"/>
                </w:tcPr>
                <w:p w14:paraId="37424034" w14:textId="77777777" w:rsidR="00AC6352" w:rsidRDefault="00AC6352" w:rsidP="00AC6352">
                  <w:pPr>
                    <w:jc w:val="both"/>
                    <w:rPr>
                      <w:bCs/>
                    </w:rPr>
                  </w:pPr>
                  <w:r>
                    <w:rPr>
                      <w:bCs/>
                    </w:rPr>
                    <w:t>Andel, pct.</w:t>
                  </w:r>
                </w:p>
              </w:tc>
              <w:tc>
                <w:tcPr>
                  <w:tcW w:w="2293" w:type="dxa"/>
                </w:tcPr>
                <w:p w14:paraId="03A5D48D" w14:textId="77777777" w:rsidR="00AC6352" w:rsidRDefault="00AC6352" w:rsidP="00AC6352">
                  <w:pPr>
                    <w:jc w:val="both"/>
                    <w:rPr>
                      <w:bCs/>
                    </w:rPr>
                  </w:pPr>
                  <w:r>
                    <w:rPr>
                      <w:bCs/>
                    </w:rPr>
                    <w:t xml:space="preserve">kr. </w:t>
                  </w:r>
                </w:p>
              </w:tc>
              <w:tc>
                <w:tcPr>
                  <w:tcW w:w="1389" w:type="dxa"/>
                </w:tcPr>
                <w:p w14:paraId="0BD7C78B" w14:textId="77777777" w:rsidR="00AC6352" w:rsidRDefault="00AC6352" w:rsidP="00AC6352">
                  <w:pPr>
                    <w:jc w:val="both"/>
                    <w:rPr>
                      <w:bCs/>
                    </w:rPr>
                  </w:pPr>
                  <w:r>
                    <w:rPr>
                      <w:bCs/>
                    </w:rPr>
                    <w:t>Andel, pct.</w:t>
                  </w:r>
                </w:p>
              </w:tc>
            </w:tr>
            <w:tr w:rsidR="00AC6352" w14:paraId="4E016192" w14:textId="77777777" w:rsidTr="00531469">
              <w:tc>
                <w:tcPr>
                  <w:tcW w:w="1840" w:type="dxa"/>
                </w:tcPr>
                <w:p w14:paraId="04DA1F75" w14:textId="77777777" w:rsidR="00AC6352" w:rsidRDefault="00AC6352" w:rsidP="00AC6352">
                  <w:pPr>
                    <w:jc w:val="both"/>
                    <w:rPr>
                      <w:bCs/>
                    </w:rPr>
                  </w:pPr>
                  <w:r>
                    <w:rPr>
                      <w:bCs/>
                    </w:rPr>
                    <w:t>2019</w:t>
                  </w:r>
                </w:p>
              </w:tc>
              <w:tc>
                <w:tcPr>
                  <w:tcW w:w="2288" w:type="dxa"/>
                </w:tcPr>
                <w:p w14:paraId="3EF590AA" w14:textId="77777777" w:rsidR="00AC6352" w:rsidRDefault="00AC6352" w:rsidP="00AC6352">
                  <w:pPr>
                    <w:jc w:val="both"/>
                    <w:rPr>
                      <w:bCs/>
                    </w:rPr>
                  </w:pPr>
                </w:p>
              </w:tc>
              <w:tc>
                <w:tcPr>
                  <w:tcW w:w="1392" w:type="dxa"/>
                </w:tcPr>
                <w:p w14:paraId="6DBB9655" w14:textId="77777777" w:rsidR="00AC6352" w:rsidRDefault="00AC6352" w:rsidP="00AC6352">
                  <w:pPr>
                    <w:jc w:val="both"/>
                    <w:rPr>
                      <w:bCs/>
                    </w:rPr>
                  </w:pPr>
                </w:p>
              </w:tc>
              <w:tc>
                <w:tcPr>
                  <w:tcW w:w="2293" w:type="dxa"/>
                </w:tcPr>
                <w:p w14:paraId="50832D25" w14:textId="77777777" w:rsidR="00AC6352" w:rsidRDefault="00AC6352" w:rsidP="00AC6352">
                  <w:pPr>
                    <w:jc w:val="both"/>
                    <w:rPr>
                      <w:bCs/>
                    </w:rPr>
                  </w:pPr>
                </w:p>
              </w:tc>
              <w:tc>
                <w:tcPr>
                  <w:tcW w:w="1389" w:type="dxa"/>
                </w:tcPr>
                <w:p w14:paraId="5367BE6E" w14:textId="77777777" w:rsidR="00AC6352" w:rsidRDefault="00AC6352" w:rsidP="00AC6352">
                  <w:pPr>
                    <w:jc w:val="both"/>
                    <w:rPr>
                      <w:bCs/>
                    </w:rPr>
                  </w:pPr>
                </w:p>
              </w:tc>
            </w:tr>
            <w:tr w:rsidR="00AC6352" w14:paraId="774A5B3B" w14:textId="77777777" w:rsidTr="00531469">
              <w:tc>
                <w:tcPr>
                  <w:tcW w:w="1840" w:type="dxa"/>
                </w:tcPr>
                <w:p w14:paraId="2608EF30" w14:textId="77777777" w:rsidR="00AC6352" w:rsidRDefault="00AC6352" w:rsidP="00AC6352">
                  <w:pPr>
                    <w:jc w:val="both"/>
                    <w:rPr>
                      <w:bCs/>
                    </w:rPr>
                  </w:pPr>
                  <w:r>
                    <w:rPr>
                      <w:bCs/>
                    </w:rPr>
                    <w:t>Decil 1-4</w:t>
                  </w:r>
                </w:p>
              </w:tc>
              <w:tc>
                <w:tcPr>
                  <w:tcW w:w="2288" w:type="dxa"/>
                </w:tcPr>
                <w:p w14:paraId="3FCCD36A" w14:textId="77777777" w:rsidR="00AC6352" w:rsidRDefault="00AC6352" w:rsidP="00AC6352">
                  <w:pPr>
                    <w:jc w:val="both"/>
                    <w:rPr>
                      <w:bCs/>
                    </w:rPr>
                  </w:pPr>
                  <w:r w:rsidRPr="008003B4">
                    <w:rPr>
                      <w:bCs/>
                    </w:rPr>
                    <w:t>155.849</w:t>
                  </w:r>
                </w:p>
              </w:tc>
              <w:tc>
                <w:tcPr>
                  <w:tcW w:w="1392" w:type="dxa"/>
                </w:tcPr>
                <w:p w14:paraId="2FD74E38" w14:textId="77777777" w:rsidR="00AC6352" w:rsidRDefault="00AC6352" w:rsidP="00AC6352">
                  <w:pPr>
                    <w:jc w:val="both"/>
                    <w:rPr>
                      <w:bCs/>
                    </w:rPr>
                  </w:pPr>
                  <w:r w:rsidRPr="00000405">
                    <w:rPr>
                      <w:bCs/>
                    </w:rPr>
                    <w:t>16</w:t>
                  </w:r>
                  <w:r>
                    <w:rPr>
                      <w:bCs/>
                    </w:rPr>
                    <w:t>,</w:t>
                  </w:r>
                  <w:r w:rsidRPr="00000405">
                    <w:rPr>
                      <w:bCs/>
                    </w:rPr>
                    <w:t>7</w:t>
                  </w:r>
                </w:p>
              </w:tc>
              <w:tc>
                <w:tcPr>
                  <w:tcW w:w="2293" w:type="dxa"/>
                </w:tcPr>
                <w:p w14:paraId="71E08379" w14:textId="77777777" w:rsidR="00AC6352" w:rsidRDefault="00AC6352" w:rsidP="00AC6352">
                  <w:pPr>
                    <w:jc w:val="both"/>
                    <w:rPr>
                      <w:bCs/>
                    </w:rPr>
                  </w:pPr>
                  <w:r w:rsidRPr="00993EB6">
                    <w:rPr>
                      <w:bCs/>
                    </w:rPr>
                    <w:t>150.967</w:t>
                  </w:r>
                </w:p>
              </w:tc>
              <w:tc>
                <w:tcPr>
                  <w:tcW w:w="1389" w:type="dxa"/>
                </w:tcPr>
                <w:p w14:paraId="4D209D96" w14:textId="77777777" w:rsidR="00AC6352" w:rsidRDefault="00AC6352" w:rsidP="00AC6352">
                  <w:pPr>
                    <w:jc w:val="both"/>
                    <w:rPr>
                      <w:bCs/>
                    </w:rPr>
                  </w:pPr>
                  <w:r w:rsidRPr="00EA2686">
                    <w:rPr>
                      <w:bCs/>
                    </w:rPr>
                    <w:t>22</w:t>
                  </w:r>
                  <w:r>
                    <w:rPr>
                      <w:bCs/>
                    </w:rPr>
                    <w:t>,</w:t>
                  </w:r>
                  <w:r w:rsidRPr="00EA2686">
                    <w:rPr>
                      <w:bCs/>
                    </w:rPr>
                    <w:t>4</w:t>
                  </w:r>
                </w:p>
              </w:tc>
            </w:tr>
            <w:tr w:rsidR="00AC6352" w14:paraId="115D302A" w14:textId="77777777" w:rsidTr="00531469">
              <w:tc>
                <w:tcPr>
                  <w:tcW w:w="1840" w:type="dxa"/>
                </w:tcPr>
                <w:p w14:paraId="7A9ADB2B" w14:textId="77777777" w:rsidR="00AC6352" w:rsidRDefault="00AC6352" w:rsidP="00AC6352">
                  <w:pPr>
                    <w:jc w:val="both"/>
                    <w:rPr>
                      <w:bCs/>
                    </w:rPr>
                  </w:pPr>
                  <w:r>
                    <w:rPr>
                      <w:bCs/>
                    </w:rPr>
                    <w:t>Alle</w:t>
                  </w:r>
                </w:p>
              </w:tc>
              <w:tc>
                <w:tcPr>
                  <w:tcW w:w="2288" w:type="dxa"/>
                </w:tcPr>
                <w:p w14:paraId="21D700D3" w14:textId="77777777" w:rsidR="00AC6352" w:rsidRDefault="00AC6352" w:rsidP="00AC6352">
                  <w:pPr>
                    <w:jc w:val="both"/>
                    <w:rPr>
                      <w:bCs/>
                    </w:rPr>
                  </w:pPr>
                  <w:r w:rsidRPr="008003B4">
                    <w:rPr>
                      <w:bCs/>
                    </w:rPr>
                    <w:t>373.262</w:t>
                  </w:r>
                </w:p>
              </w:tc>
              <w:tc>
                <w:tcPr>
                  <w:tcW w:w="1392" w:type="dxa"/>
                </w:tcPr>
                <w:p w14:paraId="50477066" w14:textId="77777777" w:rsidR="00AC6352" w:rsidRDefault="00AC6352" w:rsidP="00AC6352">
                  <w:pPr>
                    <w:jc w:val="both"/>
                    <w:rPr>
                      <w:bCs/>
                    </w:rPr>
                  </w:pPr>
                  <w:r>
                    <w:rPr>
                      <w:bCs/>
                    </w:rPr>
                    <w:t>100,0</w:t>
                  </w:r>
                </w:p>
              </w:tc>
              <w:tc>
                <w:tcPr>
                  <w:tcW w:w="2293" w:type="dxa"/>
                </w:tcPr>
                <w:p w14:paraId="5FAFD969" w14:textId="77777777" w:rsidR="00AC6352" w:rsidRDefault="00AC6352" w:rsidP="00AC6352">
                  <w:pPr>
                    <w:jc w:val="both"/>
                    <w:rPr>
                      <w:bCs/>
                    </w:rPr>
                  </w:pPr>
                  <w:r w:rsidRPr="003E074F">
                    <w:rPr>
                      <w:bCs/>
                    </w:rPr>
                    <w:t>269.096</w:t>
                  </w:r>
                </w:p>
              </w:tc>
              <w:tc>
                <w:tcPr>
                  <w:tcW w:w="1389" w:type="dxa"/>
                </w:tcPr>
                <w:p w14:paraId="7834819C" w14:textId="77777777" w:rsidR="00AC6352" w:rsidRDefault="00AC6352" w:rsidP="00AC6352">
                  <w:pPr>
                    <w:jc w:val="both"/>
                    <w:rPr>
                      <w:bCs/>
                    </w:rPr>
                  </w:pPr>
                  <w:r>
                    <w:rPr>
                      <w:bCs/>
                    </w:rPr>
                    <w:t>100,0</w:t>
                  </w:r>
                </w:p>
              </w:tc>
            </w:tr>
            <w:tr w:rsidR="00AC6352" w14:paraId="49BEB6DB" w14:textId="77777777" w:rsidTr="00531469">
              <w:tc>
                <w:tcPr>
                  <w:tcW w:w="1840" w:type="dxa"/>
                </w:tcPr>
                <w:p w14:paraId="3F0D83B7" w14:textId="77777777" w:rsidR="00AC6352" w:rsidRDefault="00AC6352" w:rsidP="00AC6352">
                  <w:pPr>
                    <w:jc w:val="both"/>
                    <w:rPr>
                      <w:bCs/>
                    </w:rPr>
                  </w:pPr>
                </w:p>
              </w:tc>
              <w:tc>
                <w:tcPr>
                  <w:tcW w:w="2288" w:type="dxa"/>
                </w:tcPr>
                <w:p w14:paraId="0482CFC3" w14:textId="77777777" w:rsidR="00AC6352" w:rsidRDefault="00AC6352" w:rsidP="00AC6352">
                  <w:pPr>
                    <w:jc w:val="both"/>
                    <w:rPr>
                      <w:bCs/>
                    </w:rPr>
                  </w:pPr>
                </w:p>
              </w:tc>
              <w:tc>
                <w:tcPr>
                  <w:tcW w:w="1392" w:type="dxa"/>
                </w:tcPr>
                <w:p w14:paraId="29691BDF" w14:textId="77777777" w:rsidR="00AC6352" w:rsidRDefault="00AC6352" w:rsidP="00AC6352">
                  <w:pPr>
                    <w:jc w:val="both"/>
                    <w:rPr>
                      <w:bCs/>
                    </w:rPr>
                  </w:pPr>
                </w:p>
              </w:tc>
              <w:tc>
                <w:tcPr>
                  <w:tcW w:w="2293" w:type="dxa"/>
                </w:tcPr>
                <w:p w14:paraId="405EFE0C" w14:textId="77777777" w:rsidR="00AC6352" w:rsidRDefault="00AC6352" w:rsidP="00AC6352">
                  <w:pPr>
                    <w:jc w:val="both"/>
                    <w:rPr>
                      <w:bCs/>
                    </w:rPr>
                  </w:pPr>
                </w:p>
              </w:tc>
              <w:tc>
                <w:tcPr>
                  <w:tcW w:w="1389" w:type="dxa"/>
                </w:tcPr>
                <w:p w14:paraId="1744E981" w14:textId="77777777" w:rsidR="00AC6352" w:rsidRDefault="00AC6352" w:rsidP="00AC6352">
                  <w:pPr>
                    <w:jc w:val="both"/>
                    <w:rPr>
                      <w:bCs/>
                    </w:rPr>
                  </w:pPr>
                </w:p>
              </w:tc>
            </w:tr>
            <w:tr w:rsidR="00AC6352" w14:paraId="3DC6F95C" w14:textId="77777777" w:rsidTr="00531469">
              <w:tc>
                <w:tcPr>
                  <w:tcW w:w="1840" w:type="dxa"/>
                </w:tcPr>
                <w:p w14:paraId="3479C3DB" w14:textId="77777777" w:rsidR="00AC6352" w:rsidRDefault="00AC6352" w:rsidP="00AC6352">
                  <w:pPr>
                    <w:jc w:val="both"/>
                    <w:rPr>
                      <w:bCs/>
                    </w:rPr>
                  </w:pPr>
                  <w:r>
                    <w:rPr>
                      <w:bCs/>
                    </w:rPr>
                    <w:t>1919</w:t>
                  </w:r>
                </w:p>
              </w:tc>
              <w:tc>
                <w:tcPr>
                  <w:tcW w:w="2288" w:type="dxa"/>
                </w:tcPr>
                <w:p w14:paraId="3E5B694C" w14:textId="77777777" w:rsidR="00AC6352" w:rsidRDefault="00AC6352" w:rsidP="00AC6352">
                  <w:pPr>
                    <w:jc w:val="both"/>
                    <w:rPr>
                      <w:bCs/>
                    </w:rPr>
                  </w:pPr>
                </w:p>
              </w:tc>
              <w:tc>
                <w:tcPr>
                  <w:tcW w:w="1392" w:type="dxa"/>
                </w:tcPr>
                <w:p w14:paraId="53E3600D" w14:textId="77777777" w:rsidR="00AC6352" w:rsidRDefault="00AC6352" w:rsidP="00AC6352">
                  <w:pPr>
                    <w:jc w:val="both"/>
                    <w:rPr>
                      <w:bCs/>
                    </w:rPr>
                  </w:pPr>
                </w:p>
              </w:tc>
              <w:tc>
                <w:tcPr>
                  <w:tcW w:w="2293" w:type="dxa"/>
                </w:tcPr>
                <w:p w14:paraId="54E8AB96" w14:textId="77777777" w:rsidR="00AC6352" w:rsidRDefault="00AC6352" w:rsidP="00AC6352">
                  <w:pPr>
                    <w:jc w:val="both"/>
                    <w:rPr>
                      <w:bCs/>
                    </w:rPr>
                  </w:pPr>
                </w:p>
              </w:tc>
              <w:tc>
                <w:tcPr>
                  <w:tcW w:w="1389" w:type="dxa"/>
                </w:tcPr>
                <w:p w14:paraId="7D0B83AA" w14:textId="77777777" w:rsidR="00AC6352" w:rsidRDefault="00AC6352" w:rsidP="00AC6352">
                  <w:pPr>
                    <w:jc w:val="both"/>
                    <w:rPr>
                      <w:bCs/>
                    </w:rPr>
                  </w:pPr>
                </w:p>
              </w:tc>
            </w:tr>
            <w:tr w:rsidR="00AC6352" w14:paraId="57511F9D" w14:textId="77777777" w:rsidTr="00531469">
              <w:tc>
                <w:tcPr>
                  <w:tcW w:w="1840" w:type="dxa"/>
                </w:tcPr>
                <w:p w14:paraId="155907C8" w14:textId="77777777" w:rsidR="00AC6352" w:rsidRDefault="00AC6352" w:rsidP="00AC6352">
                  <w:pPr>
                    <w:jc w:val="both"/>
                    <w:rPr>
                      <w:bCs/>
                    </w:rPr>
                  </w:pPr>
                  <w:r>
                    <w:rPr>
                      <w:bCs/>
                    </w:rPr>
                    <w:t>Decil 1-4</w:t>
                  </w:r>
                </w:p>
              </w:tc>
              <w:tc>
                <w:tcPr>
                  <w:tcW w:w="2288" w:type="dxa"/>
                </w:tcPr>
                <w:p w14:paraId="138C3077" w14:textId="77777777" w:rsidR="00AC6352" w:rsidRDefault="00AC6352" w:rsidP="00AC6352">
                  <w:pPr>
                    <w:spacing w:after="0"/>
                    <w:contextualSpacing w:val="0"/>
                    <w:jc w:val="both"/>
                    <w:rPr>
                      <w:bCs/>
                    </w:rPr>
                  </w:pPr>
                  <w:r>
                    <w:rPr>
                      <w:rFonts w:ascii="Calibri" w:hAnsi="Calibri" w:cs="Calibri"/>
                      <w:color w:val="000000"/>
                    </w:rPr>
                    <w:t>18.746,25</w:t>
                  </w:r>
                </w:p>
              </w:tc>
              <w:tc>
                <w:tcPr>
                  <w:tcW w:w="1392" w:type="dxa"/>
                </w:tcPr>
                <w:p w14:paraId="042C108A" w14:textId="77777777" w:rsidR="00AC6352" w:rsidRDefault="00AC6352" w:rsidP="00AC6352">
                  <w:pPr>
                    <w:jc w:val="both"/>
                    <w:rPr>
                      <w:bCs/>
                    </w:rPr>
                  </w:pPr>
                  <w:r>
                    <w:rPr>
                      <w:bCs/>
                    </w:rPr>
                    <w:t>10,0</w:t>
                  </w:r>
                </w:p>
              </w:tc>
              <w:tc>
                <w:tcPr>
                  <w:tcW w:w="2293" w:type="dxa"/>
                </w:tcPr>
                <w:p w14:paraId="2983204D" w14:textId="77777777" w:rsidR="00AC6352" w:rsidRDefault="00AC6352" w:rsidP="00AC6352">
                  <w:pPr>
                    <w:jc w:val="both"/>
                    <w:rPr>
                      <w:bCs/>
                    </w:rPr>
                  </w:pPr>
                </w:p>
              </w:tc>
              <w:tc>
                <w:tcPr>
                  <w:tcW w:w="1389" w:type="dxa"/>
                </w:tcPr>
                <w:p w14:paraId="267AFD38" w14:textId="77777777" w:rsidR="00AC6352" w:rsidRDefault="00AC6352" w:rsidP="00AC6352">
                  <w:pPr>
                    <w:jc w:val="both"/>
                    <w:rPr>
                      <w:bCs/>
                    </w:rPr>
                  </w:pPr>
                </w:p>
              </w:tc>
            </w:tr>
            <w:tr w:rsidR="00AC6352" w14:paraId="5117A620" w14:textId="77777777" w:rsidTr="00531469">
              <w:tc>
                <w:tcPr>
                  <w:tcW w:w="1840" w:type="dxa"/>
                </w:tcPr>
                <w:p w14:paraId="5E36B4CE" w14:textId="77777777" w:rsidR="00AC6352" w:rsidRDefault="00AC6352" w:rsidP="00AC6352">
                  <w:pPr>
                    <w:jc w:val="both"/>
                    <w:rPr>
                      <w:bCs/>
                    </w:rPr>
                  </w:pPr>
                  <w:r>
                    <w:rPr>
                      <w:bCs/>
                    </w:rPr>
                    <w:t>Alle</w:t>
                  </w:r>
                </w:p>
              </w:tc>
              <w:tc>
                <w:tcPr>
                  <w:tcW w:w="2288" w:type="dxa"/>
                </w:tcPr>
                <w:p w14:paraId="73C33CD1" w14:textId="77777777" w:rsidR="00AC6352" w:rsidRDefault="00AC6352" w:rsidP="00AC6352">
                  <w:pPr>
                    <w:jc w:val="both"/>
                    <w:rPr>
                      <w:bCs/>
                    </w:rPr>
                  </w:pPr>
                  <w:r w:rsidRPr="00113E27">
                    <w:rPr>
                      <w:bCs/>
                    </w:rPr>
                    <w:t>74.985</w:t>
                  </w:r>
                </w:p>
              </w:tc>
              <w:tc>
                <w:tcPr>
                  <w:tcW w:w="1392" w:type="dxa"/>
                </w:tcPr>
                <w:p w14:paraId="2401130A" w14:textId="77777777" w:rsidR="00AC6352" w:rsidRDefault="00AC6352" w:rsidP="00AC6352">
                  <w:pPr>
                    <w:jc w:val="both"/>
                    <w:rPr>
                      <w:bCs/>
                    </w:rPr>
                  </w:pPr>
                  <w:r>
                    <w:rPr>
                      <w:bCs/>
                    </w:rPr>
                    <w:t>100,0</w:t>
                  </w:r>
                </w:p>
              </w:tc>
              <w:tc>
                <w:tcPr>
                  <w:tcW w:w="2293" w:type="dxa"/>
                </w:tcPr>
                <w:p w14:paraId="58443CE0" w14:textId="77777777" w:rsidR="00AC6352" w:rsidRDefault="00AC6352" w:rsidP="00AC6352">
                  <w:pPr>
                    <w:jc w:val="both"/>
                    <w:rPr>
                      <w:bCs/>
                    </w:rPr>
                  </w:pPr>
                </w:p>
              </w:tc>
              <w:tc>
                <w:tcPr>
                  <w:tcW w:w="1389" w:type="dxa"/>
                </w:tcPr>
                <w:p w14:paraId="4CE039D6" w14:textId="77777777" w:rsidR="00AC6352" w:rsidRDefault="00AC6352" w:rsidP="00AC6352">
                  <w:pPr>
                    <w:jc w:val="both"/>
                    <w:rPr>
                      <w:bCs/>
                    </w:rPr>
                  </w:pPr>
                </w:p>
              </w:tc>
            </w:tr>
            <w:tr w:rsidR="00AC6352" w14:paraId="0703523B" w14:textId="77777777" w:rsidTr="00531469">
              <w:tc>
                <w:tcPr>
                  <w:tcW w:w="1840" w:type="dxa"/>
                </w:tcPr>
                <w:p w14:paraId="134CFC3C" w14:textId="77777777" w:rsidR="00AC6352" w:rsidRDefault="00AC6352" w:rsidP="00AC6352">
                  <w:pPr>
                    <w:jc w:val="both"/>
                    <w:rPr>
                      <w:bCs/>
                    </w:rPr>
                  </w:pPr>
                </w:p>
              </w:tc>
              <w:tc>
                <w:tcPr>
                  <w:tcW w:w="2288" w:type="dxa"/>
                </w:tcPr>
                <w:p w14:paraId="0B753EC6" w14:textId="77777777" w:rsidR="00AC6352" w:rsidRDefault="00AC6352" w:rsidP="00AC6352">
                  <w:pPr>
                    <w:jc w:val="both"/>
                    <w:rPr>
                      <w:bCs/>
                    </w:rPr>
                  </w:pPr>
                </w:p>
              </w:tc>
              <w:tc>
                <w:tcPr>
                  <w:tcW w:w="1392" w:type="dxa"/>
                </w:tcPr>
                <w:p w14:paraId="2BF5F584" w14:textId="77777777" w:rsidR="00AC6352" w:rsidRDefault="00AC6352" w:rsidP="00AC6352">
                  <w:pPr>
                    <w:jc w:val="both"/>
                    <w:rPr>
                      <w:bCs/>
                    </w:rPr>
                  </w:pPr>
                </w:p>
              </w:tc>
              <w:tc>
                <w:tcPr>
                  <w:tcW w:w="2293" w:type="dxa"/>
                </w:tcPr>
                <w:p w14:paraId="15D89CA7" w14:textId="77777777" w:rsidR="00AC6352" w:rsidRDefault="00AC6352" w:rsidP="00AC6352">
                  <w:pPr>
                    <w:jc w:val="both"/>
                    <w:rPr>
                      <w:bCs/>
                    </w:rPr>
                  </w:pPr>
                </w:p>
              </w:tc>
              <w:tc>
                <w:tcPr>
                  <w:tcW w:w="1389" w:type="dxa"/>
                </w:tcPr>
                <w:p w14:paraId="31FE6206" w14:textId="77777777" w:rsidR="00AC6352" w:rsidRDefault="00AC6352" w:rsidP="00AC6352">
                  <w:pPr>
                    <w:jc w:val="both"/>
                    <w:rPr>
                      <w:bCs/>
                    </w:rPr>
                  </w:pPr>
                </w:p>
              </w:tc>
            </w:tr>
            <w:tr w:rsidR="00AC6352" w14:paraId="5475D2AB" w14:textId="77777777" w:rsidTr="00531469">
              <w:tc>
                <w:tcPr>
                  <w:tcW w:w="1840" w:type="dxa"/>
                </w:tcPr>
                <w:p w14:paraId="257650F1" w14:textId="77777777" w:rsidR="00AC6352" w:rsidRDefault="00AC6352" w:rsidP="00AC6352">
                  <w:pPr>
                    <w:jc w:val="both"/>
                    <w:rPr>
                      <w:bCs/>
                    </w:rPr>
                  </w:pPr>
                </w:p>
              </w:tc>
              <w:tc>
                <w:tcPr>
                  <w:tcW w:w="2288" w:type="dxa"/>
                </w:tcPr>
                <w:p w14:paraId="470BE72C" w14:textId="77777777" w:rsidR="00AC6352" w:rsidRDefault="00AC6352" w:rsidP="00AC6352">
                  <w:pPr>
                    <w:jc w:val="both"/>
                    <w:rPr>
                      <w:bCs/>
                    </w:rPr>
                  </w:pPr>
                </w:p>
              </w:tc>
              <w:tc>
                <w:tcPr>
                  <w:tcW w:w="1392" w:type="dxa"/>
                </w:tcPr>
                <w:p w14:paraId="2EB0509D" w14:textId="77777777" w:rsidR="00AC6352" w:rsidRDefault="00AC6352" w:rsidP="00AC6352">
                  <w:pPr>
                    <w:jc w:val="both"/>
                    <w:rPr>
                      <w:bCs/>
                    </w:rPr>
                  </w:pPr>
                </w:p>
              </w:tc>
              <w:tc>
                <w:tcPr>
                  <w:tcW w:w="2293" w:type="dxa"/>
                </w:tcPr>
                <w:p w14:paraId="3D115168" w14:textId="77777777" w:rsidR="00AC6352" w:rsidRDefault="00AC6352" w:rsidP="00AC6352">
                  <w:pPr>
                    <w:jc w:val="both"/>
                    <w:rPr>
                      <w:bCs/>
                    </w:rPr>
                  </w:pPr>
                </w:p>
              </w:tc>
              <w:tc>
                <w:tcPr>
                  <w:tcW w:w="1389" w:type="dxa"/>
                </w:tcPr>
                <w:p w14:paraId="5C6CC95D" w14:textId="77777777" w:rsidR="00AC6352" w:rsidRDefault="00AC6352" w:rsidP="00AC6352">
                  <w:pPr>
                    <w:jc w:val="both"/>
                    <w:rPr>
                      <w:bCs/>
                    </w:rPr>
                  </w:pPr>
                </w:p>
              </w:tc>
            </w:tr>
          </w:tbl>
          <w:p w14:paraId="16CF64D4" w14:textId="1DF5F74D" w:rsidR="00AC6352" w:rsidRPr="00736C04" w:rsidRDefault="00AC6352" w:rsidP="00E93C96">
            <w:pPr>
              <w:jc w:val="both"/>
              <w:rPr>
                <w:bCs/>
                <w:color w:val="004874"/>
              </w:rPr>
            </w:pPr>
          </w:p>
        </w:tc>
      </w:tr>
      <w:tr w:rsidR="00AC6352" w14:paraId="5C1F2C3B" w14:textId="77777777" w:rsidTr="00E93C96">
        <w:trPr>
          <w:trHeight w:val="97"/>
        </w:trPr>
        <w:tc>
          <w:tcPr>
            <w:tcW w:w="9143" w:type="dxa"/>
            <w:tcBorders>
              <w:top w:val="nil"/>
              <w:left w:val="single" w:sz="4" w:space="0" w:color="auto"/>
              <w:bottom w:val="single" w:sz="4" w:space="0" w:color="auto"/>
              <w:right w:val="single" w:sz="4" w:space="0" w:color="auto"/>
            </w:tcBorders>
            <w:shd w:val="clear" w:color="auto" w:fill="FFFFFF" w:themeFill="background1"/>
            <w:hideMark/>
          </w:tcPr>
          <w:p w14:paraId="37C3584C" w14:textId="03A4A351" w:rsidR="00AC6352" w:rsidRDefault="00AC6352" w:rsidP="00E93C96">
            <w:pPr>
              <w:tabs>
                <w:tab w:val="left" w:pos="5937"/>
              </w:tabs>
              <w:jc w:val="both"/>
              <w:rPr>
                <w:rFonts w:ascii="Raleway" w:hAnsi="Raleway"/>
                <w:bCs/>
                <w:i/>
                <w:iCs/>
                <w:color w:val="323435" w:themeColor="text1"/>
                <w:sz w:val="16"/>
                <w:szCs w:val="16"/>
              </w:rPr>
            </w:pPr>
            <w:r>
              <w:rPr>
                <w:rFonts w:ascii="Raleway" w:hAnsi="Raleway"/>
                <w:bCs/>
                <w:i/>
                <w:iCs/>
                <w:color w:val="323435" w:themeColor="text1"/>
                <w:sz w:val="16"/>
                <w:szCs w:val="16"/>
              </w:rPr>
              <w:t>Kilde:</w:t>
            </w:r>
            <w:r>
              <w:rPr>
                <w:rFonts w:ascii="Raleway" w:hAnsi="Raleway"/>
                <w:bCs/>
                <w:color w:val="323435" w:themeColor="text1"/>
                <w:sz w:val="16"/>
                <w:szCs w:val="16"/>
              </w:rPr>
              <w:t xml:space="preserve"> </w:t>
            </w:r>
            <w:r w:rsidR="00531469">
              <w:rPr>
                <w:rFonts w:ascii="Raleway" w:hAnsi="Raleway"/>
                <w:bCs/>
                <w:i/>
                <w:iCs/>
                <w:color w:val="323435" w:themeColor="text1"/>
                <w:sz w:val="16"/>
                <w:szCs w:val="16"/>
              </w:rPr>
              <w:t>Egne beregninger</w:t>
            </w:r>
            <w:r>
              <w:rPr>
                <w:rFonts w:ascii="Raleway" w:hAnsi="Raleway"/>
                <w:bCs/>
                <w:i/>
                <w:iCs/>
                <w:color w:val="323435" w:themeColor="text1"/>
                <w:sz w:val="16"/>
                <w:szCs w:val="16"/>
              </w:rPr>
              <w:tab/>
            </w:r>
          </w:p>
        </w:tc>
      </w:tr>
    </w:tbl>
    <w:p w14:paraId="658ED541" w14:textId="77777777" w:rsidR="00BE1702" w:rsidRDefault="00BE1702" w:rsidP="00FC02A8">
      <w:pPr>
        <w:jc w:val="both"/>
        <w:rPr>
          <w:bCs/>
        </w:rPr>
      </w:pPr>
    </w:p>
    <w:p w14:paraId="68D583CB" w14:textId="1A8CC5B3" w:rsidR="00BE1702" w:rsidRDefault="00305736" w:rsidP="00FC02A8">
      <w:pPr>
        <w:jc w:val="both"/>
        <w:rPr>
          <w:bCs/>
        </w:rPr>
      </w:pPr>
      <w:r>
        <w:rPr>
          <w:bCs/>
        </w:rPr>
        <w:t>D</w:t>
      </w:r>
      <w:r w:rsidR="00F34A00">
        <w:rPr>
          <w:bCs/>
        </w:rPr>
        <w:t>anskernes samlede</w:t>
      </w:r>
      <w:r>
        <w:rPr>
          <w:bCs/>
        </w:rPr>
        <w:t xml:space="preserve"> disponible indkomst er tilbageskrevet til </w:t>
      </w:r>
      <w:r w:rsidR="001F2FBE">
        <w:rPr>
          <w:bCs/>
        </w:rPr>
        <w:t xml:space="preserve">1919 med udviklingen i det private forbrug som opgjort </w:t>
      </w:r>
      <w:r w:rsidR="003869F3">
        <w:rPr>
          <w:bCs/>
        </w:rPr>
        <w:t xml:space="preserve">af </w:t>
      </w:r>
      <w:r w:rsidR="00D10B3D">
        <w:rPr>
          <w:bCs/>
        </w:rPr>
        <w:fldChar w:fldCharType="begin"/>
      </w:r>
      <w:r w:rsidR="0029042A">
        <w:rPr>
          <w:bCs/>
        </w:rPr>
        <w:instrText xml:space="preserve"> ADDIN ZOTERO_ITEM CSL_CITATION {"citationID":"cBYnYSIh","properties":{"formattedCitation":"(Hansen 1984)","plainCitation":"(Hansen 1984)","dontUpdate":true,"noteIndex":0},"citationItems":[{"id":2064,"uris":["http://zotero.org/users/5396370/items/5U93UDP9"],"uri":["http://zotero.org/users/5396370/items/5U93UDP9"],"itemData":{"id":2064,"type":"book","collection-number":"6","collection-title":"Publikation / Institut for økonomisk historie","edition":"3. udg","event-place":"København","ISBN":"978-87-500-2492-7","language":"dan","note":"OCLC: 254939856","number-of-pages":"386","publisher":"Akademisk Forlag","publisher-place":"København","source":"Gemeinsamer Bibliotheksverbund ISBN","title":"Økonimisk vækst i Danmark. Bd. 2: 1914 - 1983","title-short":"Økonimisk vækst i Danmark. Bd. 2","author":[{"family":"Hansen","given":"Svend Åge"}],"issued":{"date-parts":[["1984"]]}}}],"schema":"https://github.com/citation-style-language/schema/raw/master/csl-citation.json"} </w:instrText>
      </w:r>
      <w:r w:rsidR="00D10B3D">
        <w:rPr>
          <w:bCs/>
        </w:rPr>
        <w:fldChar w:fldCharType="separate"/>
      </w:r>
      <w:r w:rsidR="00D10B3D" w:rsidRPr="00D10B3D">
        <w:t xml:space="preserve">Hansen </w:t>
      </w:r>
      <w:r w:rsidR="00D10B3D">
        <w:t>(</w:t>
      </w:r>
      <w:r w:rsidR="00D10B3D" w:rsidRPr="00D10B3D">
        <w:t>1984)</w:t>
      </w:r>
      <w:r w:rsidR="00D10B3D">
        <w:rPr>
          <w:bCs/>
        </w:rPr>
        <w:fldChar w:fldCharType="end"/>
      </w:r>
      <w:r w:rsidR="00D10B3D">
        <w:rPr>
          <w:bCs/>
        </w:rPr>
        <w:t xml:space="preserve"> og for perioden efter 1970 </w:t>
      </w:r>
      <w:r w:rsidR="00A96707">
        <w:rPr>
          <w:bCs/>
        </w:rPr>
        <w:t xml:space="preserve">af Danmarks Statistik. </w:t>
      </w:r>
      <w:r w:rsidR="00DF4FEA">
        <w:rPr>
          <w:bCs/>
        </w:rPr>
        <w:t xml:space="preserve">Det bygger på en præmis om, at </w:t>
      </w:r>
      <w:r w:rsidR="00630965">
        <w:rPr>
          <w:bCs/>
        </w:rPr>
        <w:t>privatforbruget på lang sigt må vokse i samme takt som den disponible indkomst</w:t>
      </w:r>
      <w:r w:rsidR="00B4341A">
        <w:rPr>
          <w:rStyle w:val="Fodnotehenvisning"/>
          <w:bCs/>
        </w:rPr>
        <w:footnoteReference w:id="5"/>
      </w:r>
      <w:r w:rsidR="00833AD8">
        <w:rPr>
          <w:bCs/>
        </w:rPr>
        <w:t xml:space="preserve">. </w:t>
      </w:r>
    </w:p>
    <w:p w14:paraId="766A86DA" w14:textId="77777777" w:rsidR="00833AD8" w:rsidRDefault="00833AD8" w:rsidP="00FC02A8">
      <w:pPr>
        <w:jc w:val="both"/>
        <w:rPr>
          <w:bCs/>
        </w:rPr>
      </w:pPr>
    </w:p>
    <w:p w14:paraId="57C690E8" w14:textId="258924FE" w:rsidR="00833AD8" w:rsidRDefault="00833AD8" w:rsidP="00FC02A8">
      <w:pPr>
        <w:jc w:val="both"/>
        <w:rPr>
          <w:bCs/>
        </w:rPr>
      </w:pPr>
      <w:r>
        <w:rPr>
          <w:bCs/>
        </w:rPr>
        <w:t>Det offentlige forbrug er i robusthed</w:t>
      </w:r>
      <w:r w:rsidR="00D019D7">
        <w:rPr>
          <w:bCs/>
        </w:rPr>
        <w:t>s</w:t>
      </w:r>
      <w:r>
        <w:rPr>
          <w:bCs/>
        </w:rPr>
        <w:t xml:space="preserve">analysen tillagt </w:t>
      </w:r>
      <w:r w:rsidR="00374E07">
        <w:rPr>
          <w:bCs/>
        </w:rPr>
        <w:t xml:space="preserve">de disponible indkomster. </w:t>
      </w:r>
      <w:r w:rsidR="007B777E">
        <w:rPr>
          <w:bCs/>
        </w:rPr>
        <w:t xml:space="preserve">I 2019 er det offentlige forbrug </w:t>
      </w:r>
      <w:r w:rsidR="000D27BE">
        <w:rPr>
          <w:bCs/>
        </w:rPr>
        <w:t>opdelt i individuelt og kollektivt offentligt forbrug</w:t>
      </w:r>
      <w:r w:rsidR="00E11AB0">
        <w:rPr>
          <w:bCs/>
        </w:rPr>
        <w:t xml:space="preserve"> ifølge Danmarks Statistiks opgørelse (</w:t>
      </w:r>
      <w:r w:rsidR="003D6F95">
        <w:rPr>
          <w:bCs/>
        </w:rPr>
        <w:t>70,6 pct. er opgjort som i</w:t>
      </w:r>
      <w:r w:rsidR="0076333C">
        <w:rPr>
          <w:bCs/>
        </w:rPr>
        <w:t>ndividuelt forbrugt, mens resten tegner sig for 29,4 pct.)</w:t>
      </w:r>
      <w:r w:rsidR="009D06F8">
        <w:rPr>
          <w:bCs/>
        </w:rPr>
        <w:t>.</w:t>
      </w:r>
      <w:r w:rsidR="00F50211">
        <w:rPr>
          <w:bCs/>
        </w:rPr>
        <w:t xml:space="preserve"> </w:t>
      </w:r>
      <w:r w:rsidR="00306C94">
        <w:rPr>
          <w:bCs/>
        </w:rPr>
        <w:t xml:space="preserve">Det er forudsat, at alt offentligt forbrug i 1919 blev forbrugt kollektivt. </w:t>
      </w:r>
      <w:r w:rsidR="00C8588A">
        <w:rPr>
          <w:bCs/>
        </w:rPr>
        <w:t>Det kollektivt forbrugte offentlige forbrug er fordelt</w:t>
      </w:r>
      <w:r w:rsidR="0008666F">
        <w:rPr>
          <w:bCs/>
        </w:rPr>
        <w:t xml:space="preserve"> ens på befolkningen, dvs. at 1.-4. decil tegner sig for </w:t>
      </w:r>
      <w:r w:rsidR="00306C94">
        <w:rPr>
          <w:bCs/>
        </w:rPr>
        <w:t xml:space="preserve">40 pct. i både 1919 og 2019. Det </w:t>
      </w:r>
      <w:r w:rsidR="007603DB">
        <w:rPr>
          <w:bCs/>
        </w:rPr>
        <w:t xml:space="preserve">individuelt forbrugte offentlige forbrug i 2019 er fordelt i </w:t>
      </w:r>
      <w:r w:rsidR="00922FEE">
        <w:rPr>
          <w:bCs/>
        </w:rPr>
        <w:t xml:space="preserve">overensstemmelse med fordelingen i </w:t>
      </w:r>
      <w:r w:rsidR="00922FEE">
        <w:rPr>
          <w:bCs/>
        </w:rPr>
        <w:fldChar w:fldCharType="begin"/>
      </w:r>
      <w:r w:rsidR="00922FEE">
        <w:rPr>
          <w:bCs/>
        </w:rPr>
        <w:instrText xml:space="preserve"> ADDIN ZOTERO_ITEM CSL_CITATION {"citationID":"YCrlilwk","properties":{"formattedCitation":"(\\uc0\\u216{}konomi- og Indenrigsministeriet 2017)","plainCitation":"(</w:instrText>
      </w:r>
      <w:r w:rsidR="00922FEE">
        <w:rPr>
          <w:rFonts w:hint="eastAsia"/>
          <w:bCs/>
        </w:rPr>
        <w:instrText>Ø</w:instrText>
      </w:r>
      <w:r w:rsidR="00922FEE">
        <w:rPr>
          <w:bCs/>
        </w:rPr>
        <w:instrText>konomi- og Indenrigsministeriet 2017)","noteIndex":0},"citationItems":[{"id":2065,"uris":["http://zotero.org/users/5396370/items/4FDLUKBJ"],"uri":["http://zotero.org/users/5396370/items/4FDLUKBJ"],"itemData":{"id":2065,"type":"book","event-place":"Kbh.","ISBN":"978-87-999601-5-6","language":"Danish","note":"OCLC: 1005219211","publisher-place":"Kbh.","source":"Open WorldCat","title":"Fordeling og incitamenter 2017","author":[{"literal":"</w:instrText>
      </w:r>
      <w:r w:rsidR="00922FEE">
        <w:rPr>
          <w:rFonts w:hint="eastAsia"/>
          <w:bCs/>
        </w:rPr>
        <w:instrText>Ø</w:instrText>
      </w:r>
      <w:r w:rsidR="00922FEE">
        <w:rPr>
          <w:bCs/>
        </w:rPr>
        <w:instrText xml:space="preserve">konomi- og Indenrigsministeriet"}],"issued":{"date-parts":[["2017"]]}}}],"schema":"https://github.com/citation-style-language/schema/raw/master/csl-citation.json"} </w:instrText>
      </w:r>
      <w:r w:rsidR="00922FEE">
        <w:rPr>
          <w:bCs/>
        </w:rPr>
        <w:fldChar w:fldCharType="separate"/>
      </w:r>
      <w:r w:rsidR="00922FEE" w:rsidRPr="00922FEE">
        <w:rPr>
          <w:szCs w:val="24"/>
        </w:rPr>
        <w:t>(Økonomi- og Indenrigsministeriet 2017)</w:t>
      </w:r>
      <w:r w:rsidR="00922FEE">
        <w:rPr>
          <w:bCs/>
        </w:rPr>
        <w:fldChar w:fldCharType="end"/>
      </w:r>
      <w:r w:rsidR="004315D4">
        <w:rPr>
          <w:bCs/>
        </w:rPr>
        <w:t xml:space="preserve">, hvor 1.-4. decil tegner sig for </w:t>
      </w:r>
      <w:r w:rsidR="006F0139">
        <w:rPr>
          <w:bCs/>
        </w:rPr>
        <w:t>43,3 pct.</w:t>
      </w:r>
    </w:p>
    <w:p w14:paraId="4590D386" w14:textId="32CAE1E2" w:rsidR="007C6C2A" w:rsidRDefault="007C6C2A" w:rsidP="00FC02A8">
      <w:pPr>
        <w:jc w:val="both"/>
        <w:rPr>
          <w:bCs/>
        </w:rPr>
      </w:pPr>
    </w:p>
    <w:p w14:paraId="2C4859E5" w14:textId="31A980A3" w:rsidR="00B94B30" w:rsidRDefault="00E143AF" w:rsidP="00FC02A8">
      <w:pPr>
        <w:jc w:val="both"/>
        <w:rPr>
          <w:bCs/>
        </w:rPr>
      </w:pPr>
      <w:r>
        <w:rPr>
          <w:bCs/>
        </w:rPr>
        <w:t xml:space="preserve">I beregningen af </w:t>
      </w:r>
      <w:r w:rsidR="00720448">
        <w:rPr>
          <w:bCs/>
        </w:rPr>
        <w:t>effekterne i den halve periode er taget udgangspunkt i de 40 pct. laveste indkomsters andel af de disponible indkomster i 1965</w:t>
      </w:r>
      <w:r w:rsidR="007F11FB">
        <w:rPr>
          <w:bCs/>
        </w:rPr>
        <w:t xml:space="preserve">, der </w:t>
      </w:r>
      <w:r w:rsidR="005028B2">
        <w:rPr>
          <w:bCs/>
        </w:rPr>
        <w:t xml:space="preserve">jf. tabel 3 er det år, som ligger tættest på 1970, når det gælder familieindkomster. </w:t>
      </w:r>
      <w:r w:rsidR="0015658C">
        <w:rPr>
          <w:bCs/>
        </w:rPr>
        <w:t>Netop i perioden 1965-70 blev velfærdsstaten udbygget</w:t>
      </w:r>
      <w:r w:rsidR="00193061">
        <w:rPr>
          <w:bCs/>
        </w:rPr>
        <w:t xml:space="preserve"> betydeligt, så dette valgt</w:t>
      </w:r>
      <w:r w:rsidR="001733BA">
        <w:rPr>
          <w:bCs/>
        </w:rPr>
        <w:t xml:space="preserve"> giver en meget konservativ vurdering af vækstens betydning.</w:t>
      </w:r>
    </w:p>
    <w:p w14:paraId="6DB22626" w14:textId="77777777" w:rsidR="00E8429F" w:rsidRDefault="00E8429F" w:rsidP="00FC02A8">
      <w:pPr>
        <w:jc w:val="both"/>
        <w:rPr>
          <w:rFonts w:ascii="Bebas Neue" w:eastAsiaTheme="majorEastAsia" w:hAnsi="Bebas Neue" w:cstheme="majorBidi"/>
          <w:bCs/>
          <w:color w:val="07385E"/>
          <w:sz w:val="36"/>
          <w:szCs w:val="36"/>
        </w:rPr>
      </w:pPr>
    </w:p>
    <w:p w14:paraId="3AB03FB2" w14:textId="77777777" w:rsidR="000871A1" w:rsidRDefault="000871A1">
      <w:pPr>
        <w:spacing w:after="0"/>
        <w:contextualSpacing w:val="0"/>
        <w:rPr>
          <w:rFonts w:ascii="Bebas Neue" w:eastAsiaTheme="majorEastAsia" w:hAnsi="Bebas Neue" w:cstheme="majorBidi"/>
          <w:bCs/>
          <w:color w:val="07385E"/>
          <w:sz w:val="36"/>
          <w:szCs w:val="36"/>
        </w:rPr>
      </w:pPr>
      <w:r>
        <w:rPr>
          <w:rFonts w:ascii="Bebas Neue" w:eastAsiaTheme="majorEastAsia" w:hAnsi="Bebas Neue" w:cstheme="majorBidi"/>
          <w:bCs/>
          <w:color w:val="07385E"/>
          <w:sz w:val="36"/>
          <w:szCs w:val="36"/>
        </w:rPr>
        <w:br w:type="page"/>
      </w:r>
    </w:p>
    <w:p w14:paraId="503E489E" w14:textId="09FC9A18" w:rsidR="007C6C2A" w:rsidRPr="0074378B" w:rsidRDefault="0074378B" w:rsidP="00FC02A8">
      <w:pPr>
        <w:jc w:val="both"/>
        <w:rPr>
          <w:rFonts w:ascii="Bebas Neue" w:eastAsiaTheme="majorEastAsia" w:hAnsi="Bebas Neue" w:cstheme="majorBidi"/>
          <w:bCs/>
          <w:color w:val="07385E"/>
          <w:sz w:val="36"/>
          <w:szCs w:val="36"/>
        </w:rPr>
      </w:pPr>
      <w:r>
        <w:rPr>
          <w:rFonts w:ascii="Bebas Neue" w:eastAsiaTheme="majorEastAsia" w:hAnsi="Bebas Neue" w:cstheme="majorBidi"/>
          <w:bCs/>
          <w:color w:val="07385E"/>
          <w:sz w:val="36"/>
          <w:szCs w:val="36"/>
        </w:rPr>
        <w:lastRenderedPageBreak/>
        <w:t xml:space="preserve">4. </w:t>
      </w:r>
      <w:r w:rsidR="00B57ECD" w:rsidRPr="0074378B">
        <w:rPr>
          <w:rFonts w:ascii="Bebas Neue" w:eastAsiaTheme="majorEastAsia" w:hAnsi="Bebas Neue" w:cstheme="majorBidi"/>
          <w:bCs/>
          <w:color w:val="07385E"/>
          <w:sz w:val="36"/>
          <w:szCs w:val="36"/>
        </w:rPr>
        <w:t>Konklusion</w:t>
      </w:r>
    </w:p>
    <w:p w14:paraId="44BBC460" w14:textId="27A6393B" w:rsidR="00B57ECD" w:rsidRDefault="00B57ECD" w:rsidP="00FC02A8">
      <w:pPr>
        <w:jc w:val="both"/>
        <w:rPr>
          <w:bCs/>
        </w:rPr>
      </w:pPr>
      <w:r>
        <w:rPr>
          <w:bCs/>
        </w:rPr>
        <w:t>Det er vanskeligt at opgøre den præcise indkomstudvikling</w:t>
      </w:r>
      <w:r w:rsidR="00381889">
        <w:rPr>
          <w:bCs/>
        </w:rPr>
        <w:t xml:space="preserve"> over de seneste 100 år. Uanset usikkerheden (som i dette notat er </w:t>
      </w:r>
      <w:r w:rsidR="006423C3">
        <w:rPr>
          <w:bCs/>
        </w:rPr>
        <w:t xml:space="preserve">valgt at komme fordelingspolitikkens effekt til gode) er det imidlertid givet, at </w:t>
      </w:r>
      <w:r w:rsidR="00762256">
        <w:rPr>
          <w:bCs/>
        </w:rPr>
        <w:t xml:space="preserve">den direkte og indirekte effekt af økonomisk vækst har været markant større end </w:t>
      </w:r>
      <w:r w:rsidR="00B736EA">
        <w:rPr>
          <w:bCs/>
        </w:rPr>
        <w:t xml:space="preserve">effekten af fordelingspolitikken på den store stigning i lavindkomsternes levestandard </w:t>
      </w:r>
      <w:r w:rsidR="00F02B6A">
        <w:rPr>
          <w:bCs/>
        </w:rPr>
        <w:t xml:space="preserve">gennem det sidste århundrede. Beregningerne i dette notat </w:t>
      </w:r>
      <w:r w:rsidR="00DD46CB">
        <w:rPr>
          <w:bCs/>
        </w:rPr>
        <w:t>tyder på</w:t>
      </w:r>
      <w:r w:rsidR="00F02B6A">
        <w:rPr>
          <w:bCs/>
        </w:rPr>
        <w:t xml:space="preserve">, at </w:t>
      </w:r>
      <w:r w:rsidR="0068340F">
        <w:rPr>
          <w:bCs/>
        </w:rPr>
        <w:t>effekten af økonomisk vækst har været ti gange så kraftig som af fordelingspolitik.</w:t>
      </w:r>
    </w:p>
    <w:p w14:paraId="47F27E65" w14:textId="77777777" w:rsidR="00DD46CB" w:rsidRDefault="00DD46CB" w:rsidP="00FC02A8">
      <w:pPr>
        <w:jc w:val="both"/>
        <w:rPr>
          <w:bCs/>
        </w:rPr>
      </w:pPr>
    </w:p>
    <w:p w14:paraId="704249EA" w14:textId="2D25BA6E" w:rsidR="00DD46CB" w:rsidRDefault="00DD46CB" w:rsidP="00FC02A8">
      <w:pPr>
        <w:jc w:val="both"/>
        <w:rPr>
          <w:bCs/>
        </w:rPr>
      </w:pPr>
      <w:r>
        <w:rPr>
          <w:bCs/>
        </w:rPr>
        <w:t xml:space="preserve">Det understreger betydningen af økonomisk vækst, når det gælder den fremtidige </w:t>
      </w:r>
      <w:r w:rsidR="00B524A1">
        <w:rPr>
          <w:bCs/>
        </w:rPr>
        <w:t>velstandsudvikling. Som påpeget af Cowen (2021)</w:t>
      </w:r>
      <w:r w:rsidR="008A048E">
        <w:rPr>
          <w:bCs/>
        </w:rPr>
        <w:t>,</w:t>
      </w:r>
      <w:r w:rsidR="00B524A1">
        <w:rPr>
          <w:bCs/>
        </w:rPr>
        <w:t xml:space="preserve"> </w:t>
      </w:r>
      <w:r w:rsidR="008A048E">
        <w:rPr>
          <w:bCs/>
        </w:rPr>
        <w:t xml:space="preserve">er sikringen af økonomisk vækst </w:t>
      </w:r>
      <w:r w:rsidR="00A1724A">
        <w:rPr>
          <w:bCs/>
        </w:rPr>
        <w:t>af uovertruffen betydning for kommende generationer.</w:t>
      </w:r>
    </w:p>
    <w:p w14:paraId="5DB0D6B4" w14:textId="77777777" w:rsidR="00001B92" w:rsidRDefault="00001B92" w:rsidP="00FC02A8">
      <w:pPr>
        <w:jc w:val="both"/>
        <w:rPr>
          <w:bCs/>
        </w:rPr>
      </w:pPr>
    </w:p>
    <w:p w14:paraId="2D1C4EEC" w14:textId="56172FC6" w:rsidR="00001B92" w:rsidRPr="0074378B" w:rsidRDefault="00001B92" w:rsidP="00FC02A8">
      <w:pPr>
        <w:jc w:val="both"/>
        <w:rPr>
          <w:rFonts w:ascii="Bebas Neue" w:eastAsiaTheme="majorEastAsia" w:hAnsi="Bebas Neue" w:cstheme="majorBidi"/>
          <w:bCs/>
          <w:color w:val="07385E"/>
          <w:sz w:val="36"/>
          <w:szCs w:val="36"/>
        </w:rPr>
      </w:pPr>
      <w:r w:rsidRPr="0074378B">
        <w:rPr>
          <w:rFonts w:ascii="Bebas Neue" w:eastAsiaTheme="majorEastAsia" w:hAnsi="Bebas Neue" w:cstheme="majorBidi"/>
          <w:bCs/>
          <w:color w:val="07385E"/>
          <w:sz w:val="36"/>
          <w:szCs w:val="36"/>
        </w:rPr>
        <w:t>Referencer</w:t>
      </w:r>
    </w:p>
    <w:p w14:paraId="07F82325" w14:textId="77777777" w:rsidR="0029042A" w:rsidRPr="0029042A" w:rsidRDefault="00001B92" w:rsidP="0029042A">
      <w:pPr>
        <w:pStyle w:val="Bibliografi"/>
        <w:rPr>
          <w:lang w:val="en-US"/>
        </w:rPr>
      </w:pPr>
      <w:r>
        <w:rPr>
          <w:bCs/>
        </w:rPr>
        <w:fldChar w:fldCharType="begin"/>
      </w:r>
      <w:r>
        <w:rPr>
          <w:bCs/>
        </w:rPr>
        <w:instrText xml:space="preserve"> ADDIN ZOTERO_BIBL {"uncited":[],"omitted":[],"custom":[]} CSL_BIBLIOGRAPHY </w:instrText>
      </w:r>
      <w:r>
        <w:rPr>
          <w:bCs/>
        </w:rPr>
        <w:fldChar w:fldCharType="separate"/>
      </w:r>
      <w:r w:rsidR="0029042A" w:rsidRPr="0029042A">
        <w:t xml:space="preserve">Atkinson, A B, og J E Søgaard. </w:t>
      </w:r>
      <w:r w:rsidR="0029042A" w:rsidRPr="0029042A">
        <w:rPr>
          <w:lang w:val="en-US"/>
        </w:rPr>
        <w:t xml:space="preserve">2013. “The Long-Run History of Income Inequality in Denmark: Top Incomes from 1870 to 2010”. </w:t>
      </w:r>
      <w:r w:rsidR="0029042A" w:rsidRPr="0029042A">
        <w:rPr>
          <w:i/>
          <w:iCs/>
          <w:lang w:val="en-US"/>
        </w:rPr>
        <w:t>EPRU Working Paper</w:t>
      </w:r>
      <w:r w:rsidR="0029042A" w:rsidRPr="0029042A">
        <w:rPr>
          <w:lang w:val="en-US"/>
        </w:rPr>
        <w:t>, 49.</w:t>
      </w:r>
    </w:p>
    <w:p w14:paraId="5568FFA8" w14:textId="77777777" w:rsidR="0029042A" w:rsidRPr="0029042A" w:rsidRDefault="0029042A" w:rsidP="0029042A">
      <w:pPr>
        <w:pStyle w:val="Bibliografi"/>
        <w:rPr>
          <w:lang w:val="en-US"/>
        </w:rPr>
      </w:pPr>
      <w:r w:rsidRPr="0029042A">
        <w:rPr>
          <w:lang w:val="en-US"/>
        </w:rPr>
        <w:t xml:space="preserve">Bergh, Andreas, og Magnus Henrekson. 2011. “Government Size and Growth: A Survey and Interpretation of the Evidence”. </w:t>
      </w:r>
      <w:r w:rsidRPr="0029042A">
        <w:rPr>
          <w:i/>
          <w:iCs/>
          <w:lang w:val="en-US"/>
        </w:rPr>
        <w:t>Journal of Economic Surveys</w:t>
      </w:r>
      <w:r w:rsidRPr="0029042A">
        <w:rPr>
          <w:lang w:val="en-US"/>
        </w:rPr>
        <w:t xml:space="preserve"> 25 (december): 872–97. https://doi.org/10.1111/j.1467-6419.2011.00697.x.</w:t>
      </w:r>
    </w:p>
    <w:p w14:paraId="3824B93B" w14:textId="77777777" w:rsidR="0029042A" w:rsidRPr="0029042A" w:rsidRDefault="0029042A" w:rsidP="0029042A">
      <w:pPr>
        <w:pStyle w:val="Bibliografi"/>
        <w:rPr>
          <w:lang w:val="en-US"/>
        </w:rPr>
      </w:pPr>
      <w:r w:rsidRPr="0029042A">
        <w:rPr>
          <w:lang w:val="en-US"/>
        </w:rPr>
        <w:t xml:space="preserve">Brøns-Petersen, Otto. 2017. “30 Years of Tax Reforms: How Much Impact on Danish Growth?” I </w:t>
      </w:r>
      <w:r w:rsidRPr="0029042A">
        <w:rPr>
          <w:i/>
          <w:iCs/>
          <w:lang w:val="en-US"/>
        </w:rPr>
        <w:t>Taxation in Crisis: Tax Policy and the Quest for Economic Growth</w:t>
      </w:r>
      <w:r w:rsidRPr="0029042A">
        <w:rPr>
          <w:lang w:val="en-US"/>
        </w:rPr>
        <w:t>, redigeret af Dimitrios D. Thomakos og Konstantinos I. Nikolopoulos, 121–44. Palgrave Macmillan Studies in Banking and Financial Institutions. Cham: Springer International Publishing. https://doi.org/10.1007/978-3-319-65310-5_6.</w:t>
      </w:r>
    </w:p>
    <w:p w14:paraId="73E2E72B" w14:textId="77777777" w:rsidR="0029042A" w:rsidRPr="0029042A" w:rsidRDefault="0029042A" w:rsidP="0029042A">
      <w:pPr>
        <w:pStyle w:val="Bibliografi"/>
      </w:pPr>
      <w:r w:rsidRPr="0029042A">
        <w:t xml:space="preserve">Hansen, Svend Åge. 1984. </w:t>
      </w:r>
      <w:r w:rsidRPr="0029042A">
        <w:rPr>
          <w:i/>
          <w:iCs/>
        </w:rPr>
        <w:t>Økonimisk vækst i Danmark. Bd. 2: 1914 - 1983</w:t>
      </w:r>
      <w:r w:rsidRPr="0029042A">
        <w:t>. 3. udg. Publikation / Institut for økonomisk historie 6. København: Akademisk Forlag.</w:t>
      </w:r>
    </w:p>
    <w:p w14:paraId="62CB5B8C" w14:textId="77777777" w:rsidR="0029042A" w:rsidRPr="0029042A" w:rsidRDefault="0029042A" w:rsidP="0029042A">
      <w:pPr>
        <w:pStyle w:val="Bibliografi"/>
      </w:pPr>
      <w:r w:rsidRPr="0029042A">
        <w:t xml:space="preserve">Økonomi- og Indenrigsministeriet. 2017. </w:t>
      </w:r>
      <w:r w:rsidRPr="0029042A">
        <w:rPr>
          <w:i/>
          <w:iCs/>
        </w:rPr>
        <w:t>Fordeling og incitamenter 2017</w:t>
      </w:r>
      <w:r w:rsidRPr="0029042A">
        <w:t>. Kbh.</w:t>
      </w:r>
    </w:p>
    <w:p w14:paraId="127AB5A3" w14:textId="2F0F640F" w:rsidR="00001B92" w:rsidRDefault="00001B92" w:rsidP="00FC02A8">
      <w:pPr>
        <w:jc w:val="both"/>
        <w:rPr>
          <w:bCs/>
        </w:rPr>
      </w:pPr>
      <w:r>
        <w:rPr>
          <w:bCs/>
        </w:rPr>
        <w:fldChar w:fldCharType="end"/>
      </w:r>
    </w:p>
    <w:p w14:paraId="184CEB1B" w14:textId="77777777" w:rsidR="004E75D6" w:rsidRDefault="004E75D6" w:rsidP="00FC02A8">
      <w:pPr>
        <w:jc w:val="both"/>
        <w:rPr>
          <w:bCs/>
        </w:rPr>
      </w:pPr>
    </w:p>
    <w:p w14:paraId="0E29CFE3" w14:textId="77777777" w:rsidR="00C9430C" w:rsidRDefault="00C9430C" w:rsidP="00C9430C">
      <w:pPr>
        <w:rPr>
          <w:rFonts w:ascii="Calibri" w:hAnsi="Calibri"/>
        </w:rPr>
      </w:pPr>
      <w:r>
        <w:rPr>
          <w:rStyle w:val="Strk"/>
          <w:color w:val="131313"/>
          <w:shd w:val="clear" w:color="auto" w:fill="FFFFFF"/>
        </w:rPr>
        <w:t xml:space="preserve">Denne analyse er en del af ”Projekt 3%.” </w:t>
      </w:r>
      <w:r>
        <w:rPr>
          <w:b/>
          <w:bCs/>
          <w:color w:val="131313"/>
          <w:shd w:val="clear" w:color="auto" w:fill="FFFFFF"/>
        </w:rPr>
        <w:br/>
      </w:r>
      <w:r>
        <w:rPr>
          <w:rStyle w:val="Strk"/>
          <w:color w:val="131313"/>
          <w:shd w:val="clear" w:color="auto" w:fill="FFFFFF"/>
        </w:rPr>
        <w:t xml:space="preserve">Projektet har til formål at identificere reformer, der kan hæve den økonomiske vækst i Danmark til 3 pct. årligt de næste ti år. </w:t>
      </w:r>
      <w:r>
        <w:rPr>
          <w:b/>
          <w:bCs/>
          <w:color w:val="131313"/>
          <w:shd w:val="clear" w:color="auto" w:fill="FFFFFF"/>
        </w:rPr>
        <w:br/>
      </w:r>
      <w:r>
        <w:rPr>
          <w:rStyle w:val="Strk"/>
          <w:color w:val="131313"/>
          <w:shd w:val="clear" w:color="auto" w:fill="FFFFFF"/>
        </w:rPr>
        <w:t>Projektet er støttet af Kraks Fond og af Novo Nordisk Fonden</w:t>
      </w:r>
      <w:r>
        <w:rPr>
          <w:color w:val="131313"/>
          <w:shd w:val="clear" w:color="auto" w:fill="FFFFFF"/>
        </w:rPr>
        <w:t>. (</w:t>
      </w:r>
      <w:r>
        <w:rPr>
          <w:b/>
          <w:bCs/>
        </w:rPr>
        <w:t xml:space="preserve">NNF21SA0070933). </w:t>
      </w:r>
    </w:p>
    <w:p w14:paraId="21FA0AB5" w14:textId="77777777" w:rsidR="004E75D6" w:rsidRDefault="004E75D6" w:rsidP="00FC02A8">
      <w:pPr>
        <w:jc w:val="both"/>
        <w:rPr>
          <w:bCs/>
        </w:rPr>
      </w:pPr>
    </w:p>
    <w:p w14:paraId="115640E6" w14:textId="77777777" w:rsidR="002D242C" w:rsidRDefault="002D242C" w:rsidP="00FC02A8">
      <w:pPr>
        <w:jc w:val="both"/>
        <w:rPr>
          <w:bCs/>
        </w:rPr>
      </w:pPr>
    </w:p>
    <w:p w14:paraId="56426CBC" w14:textId="103D0E32" w:rsidR="008B0918" w:rsidRDefault="00925C50" w:rsidP="00FC02A8">
      <w:pPr>
        <w:jc w:val="both"/>
        <w:rPr>
          <w:bCs/>
        </w:rPr>
      </w:pPr>
      <w:r>
        <w:rPr>
          <w:bCs/>
        </w:rPr>
        <w:t xml:space="preserve"> </w:t>
      </w:r>
    </w:p>
    <w:p w14:paraId="17B796E2" w14:textId="792422C1" w:rsidR="0051051D" w:rsidRDefault="0051051D" w:rsidP="00FC02A8">
      <w:pPr>
        <w:jc w:val="both"/>
        <w:rPr>
          <w:bCs/>
        </w:rPr>
      </w:pPr>
    </w:p>
    <w:p w14:paraId="7A565154" w14:textId="0FF878B6" w:rsidR="0051051D" w:rsidRDefault="0051051D" w:rsidP="00FC02A8">
      <w:pPr>
        <w:jc w:val="both"/>
        <w:rPr>
          <w:bCs/>
        </w:rPr>
      </w:pPr>
    </w:p>
    <w:p w14:paraId="6ABF87DB" w14:textId="77777777" w:rsidR="008B0918" w:rsidRPr="003C49E7" w:rsidRDefault="008B0918" w:rsidP="00FC02A8">
      <w:pPr>
        <w:jc w:val="both"/>
        <w:rPr>
          <w:bCs/>
        </w:rPr>
      </w:pPr>
    </w:p>
    <w:sectPr w:rsidR="008B0918" w:rsidRPr="003C49E7" w:rsidSect="00FC5BCC">
      <w:headerReference w:type="default" r:id="rId15"/>
      <w:footerReference w:type="default" r:id="rId16"/>
      <w:headerReference w:type="first" r:id="rId17"/>
      <w:footerReference w:type="first" r:id="rId18"/>
      <w:pgSz w:w="11906" w:h="16838" w:code="9"/>
      <w:pgMar w:top="1701" w:right="709" w:bottom="709"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9961" w14:textId="77777777" w:rsidR="007A20ED" w:rsidRDefault="007A20ED" w:rsidP="00B0153E">
      <w:r>
        <w:separator/>
      </w:r>
    </w:p>
    <w:p w14:paraId="114DE44D" w14:textId="77777777" w:rsidR="007A20ED" w:rsidRDefault="007A20ED" w:rsidP="00B0153E"/>
    <w:p w14:paraId="743C0B14" w14:textId="77777777" w:rsidR="007A20ED" w:rsidRDefault="007A20ED" w:rsidP="00B0153E"/>
  </w:endnote>
  <w:endnote w:type="continuationSeparator" w:id="0">
    <w:p w14:paraId="184BFE8A" w14:textId="77777777" w:rsidR="007A20ED" w:rsidRDefault="007A20ED" w:rsidP="00B0153E">
      <w:r>
        <w:continuationSeparator/>
      </w:r>
    </w:p>
    <w:p w14:paraId="3670A97C" w14:textId="77777777" w:rsidR="007A20ED" w:rsidRDefault="007A20ED" w:rsidP="00B0153E"/>
    <w:p w14:paraId="1B22BA1D" w14:textId="77777777" w:rsidR="007A20ED" w:rsidRDefault="007A20ED" w:rsidP="00B0153E"/>
  </w:endnote>
  <w:endnote w:type="continuationNotice" w:id="1">
    <w:p w14:paraId="315A36B8" w14:textId="77777777" w:rsidR="007A20ED" w:rsidRDefault="007A2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bas Neue">
    <w:panose1 w:val="020B0606020202050201"/>
    <w:charset w:val="00"/>
    <w:family w:val="swiss"/>
    <w:notTrueType/>
    <w:pitch w:val="variable"/>
    <w:sig w:usb0="A000002F"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ngo Serif">
    <w:altName w:val="Cambria"/>
    <w:panose1 w:val="00000000000000000000"/>
    <w:charset w:val="00"/>
    <w:family w:val="roman"/>
    <w:notTrueType/>
    <w:pitch w:val="variable"/>
    <w:sig w:usb0="800000AF" w:usb1="5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ato-Regular">
    <w:altName w:val="Segoe UI"/>
    <w:panose1 w:val="00000000000000000000"/>
    <w:charset w:val="00"/>
    <w:family w:val="roman"/>
    <w:notTrueType/>
    <w:pitch w:val="default"/>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8256" w14:textId="77777777" w:rsidR="00F43F71" w:rsidRDefault="00F43F71" w:rsidP="006A35A9">
    <w:pPr>
      <w:pStyle w:val="Sidefodtekst"/>
    </w:pPr>
    <w:r w:rsidRPr="00AF6741">
      <w:rPr>
        <w:rStyle w:val="SidefodtekstTegn"/>
      </w:rPr>
      <w:t>CEPOS · Landgreven 3, 3. · 1301 København K · +45 33 45 60 30 · www.cepos.dk</w:t>
    </w:r>
    <w:r w:rsidRPr="00AF6741">
      <w:tab/>
    </w:r>
    <w:sdt>
      <w:sdtPr>
        <w:id w:val="-2080590351"/>
        <w:docPartObj>
          <w:docPartGallery w:val="Page Numbers (Bottom of Page)"/>
          <w:docPartUnique/>
        </w:docPartObj>
      </w:sdtPr>
      <w:sdtEndPr/>
      <w:sdtContent>
        <w:r w:rsidRPr="00AF6741">
          <w:fldChar w:fldCharType="begin"/>
        </w:r>
        <w:r w:rsidRPr="00AF6741">
          <w:instrText>PAGE   \* MERGEFORMAT</w:instrText>
        </w:r>
        <w:r w:rsidRPr="00AF6741">
          <w:fldChar w:fldCharType="separate"/>
        </w:r>
        <w:r>
          <w:t>1</w:t>
        </w:r>
        <w:r w:rsidRPr="00AF6741">
          <w:fldChar w:fldCharType="end"/>
        </w:r>
      </w:sdtContent>
    </w:sdt>
  </w:p>
  <w:p w14:paraId="5315E7BD" w14:textId="77777777" w:rsidR="00F43F71" w:rsidRDefault="00F43F7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2AD2" w14:textId="77777777" w:rsidR="00F43F71" w:rsidRDefault="00F43F71" w:rsidP="006A35A9">
    <w:pPr>
      <w:pStyle w:val="Sidefodtekst"/>
    </w:pPr>
    <w:r w:rsidRPr="00AF6741">
      <w:rPr>
        <w:rStyle w:val="SidefodtekstTegn"/>
      </w:rPr>
      <w:t>CEPOS · Landgreven 3, 3. · 1301 København K · +45 33 45 60 30 · www.cepos.dk</w:t>
    </w:r>
    <w:r w:rsidRPr="00AF6741">
      <w:tab/>
    </w:r>
    <w:sdt>
      <w:sdtPr>
        <w:id w:val="-1878853968"/>
        <w:docPartObj>
          <w:docPartGallery w:val="Page Numbers (Bottom of Page)"/>
          <w:docPartUnique/>
        </w:docPartObj>
      </w:sdtPr>
      <w:sdtEndPr/>
      <w:sdtContent>
        <w:r w:rsidRPr="00AF6741">
          <w:fldChar w:fldCharType="begin"/>
        </w:r>
        <w:r w:rsidRPr="00AF6741">
          <w:instrText>PAGE   \* MERGEFORMAT</w:instrText>
        </w:r>
        <w:r w:rsidRPr="00AF6741">
          <w:fldChar w:fldCharType="separate"/>
        </w:r>
        <w:r>
          <w:t>1</w:t>
        </w:r>
        <w:r w:rsidRPr="00AF6741">
          <w:fldChar w:fldCharType="end"/>
        </w:r>
      </w:sdtContent>
    </w:sdt>
  </w:p>
  <w:p w14:paraId="791B6D0B" w14:textId="77777777" w:rsidR="00F43F71" w:rsidRDefault="00F43F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54B0" w14:textId="77777777" w:rsidR="007A20ED" w:rsidRDefault="007A20ED" w:rsidP="00B0153E">
      <w:r w:rsidRPr="00807054">
        <w:continuationSeparator/>
      </w:r>
    </w:p>
  </w:footnote>
  <w:footnote w:type="continuationSeparator" w:id="0">
    <w:p w14:paraId="1EB65647" w14:textId="77777777" w:rsidR="007A20ED" w:rsidRDefault="007A20ED" w:rsidP="00B0153E">
      <w:r w:rsidRPr="00807054">
        <w:continuationSeparator/>
      </w:r>
    </w:p>
  </w:footnote>
  <w:footnote w:type="continuationNotice" w:id="1">
    <w:p w14:paraId="525099A1" w14:textId="77777777" w:rsidR="007A20ED" w:rsidRPr="002654C1" w:rsidRDefault="007A20ED" w:rsidP="002654C1">
      <w:pPr>
        <w:pStyle w:val="Sidefod"/>
      </w:pPr>
    </w:p>
  </w:footnote>
  <w:footnote w:id="2">
    <w:p w14:paraId="02E3CB14" w14:textId="0CE30BC5" w:rsidR="00D24FE3" w:rsidRDefault="00D24FE3">
      <w:pPr>
        <w:pStyle w:val="Fodnotetekst"/>
      </w:pPr>
      <w:r>
        <w:rPr>
          <w:rStyle w:val="Fodnotehenvisning"/>
        </w:rPr>
        <w:footnoteRef/>
      </w:r>
      <w:r>
        <w:t xml:space="preserve"> Der foreligger ikke historiske data for indkomstandelen for en mindre andel af </w:t>
      </w:r>
      <w:r w:rsidR="003A683A">
        <w:t>lavindkomsterne end de 40 pct. laveste indkomster, jf. nedenfor.</w:t>
      </w:r>
    </w:p>
  </w:footnote>
  <w:footnote w:id="3">
    <w:p w14:paraId="08A543FF" w14:textId="6120C827" w:rsidR="009578C8" w:rsidRDefault="009578C8">
      <w:pPr>
        <w:pStyle w:val="Fodnotetekst"/>
      </w:pPr>
      <w:r>
        <w:rPr>
          <w:rStyle w:val="Fodnotehenvisning"/>
        </w:rPr>
        <w:footnoteRef/>
      </w:r>
      <w:r>
        <w:t xml:space="preserve"> </w:t>
      </w:r>
      <w:r w:rsidR="00020E27">
        <w:t xml:space="preserve">Der foreligger ikke </w:t>
      </w:r>
      <w:r w:rsidR="00622D8D">
        <w:t xml:space="preserve">statistik for indkomstfordelingen i 1970, og derfor er der </w:t>
      </w:r>
      <w:r w:rsidR="00951EBD">
        <w:t xml:space="preserve">taget udgangspunkt i de laveste 40 pct. af indkomsternes indkomstandel </w:t>
      </w:r>
      <w:r w:rsidR="00386EE9">
        <w:t>i 1965.</w:t>
      </w:r>
    </w:p>
  </w:footnote>
  <w:footnote w:id="4">
    <w:p w14:paraId="19D406B4" w14:textId="31D3A97E" w:rsidR="00AE68FB" w:rsidRDefault="00AE68FB">
      <w:pPr>
        <w:pStyle w:val="Fodnotetekst"/>
      </w:pPr>
      <w:r>
        <w:rPr>
          <w:rStyle w:val="Fodnotehenvisning"/>
        </w:rPr>
        <w:footnoteRef/>
      </w:r>
      <w:r>
        <w:t xml:space="preserve"> </w:t>
      </w:r>
      <w:r w:rsidR="003737E1">
        <w:t>Hvis fordelingspolitikken ikke er efficient, kan der findes redskaber, som både øger omfordelingen og væksten</w:t>
      </w:r>
      <w:r w:rsidR="00A511EC">
        <w:t xml:space="preserve">. Et eksempel er en nedsættelse af elafgiften. Den omfattende omfordeling i </w:t>
      </w:r>
      <w:r w:rsidR="00004624">
        <w:t xml:space="preserve">velfærdsstater som Danmark indebærer imidlertid, at der er et samlet trade-off mellem </w:t>
      </w:r>
      <w:r w:rsidR="00936544">
        <w:t>fordeling og vækst.</w:t>
      </w:r>
      <w:r w:rsidR="00A511EC">
        <w:t xml:space="preserve"> </w:t>
      </w:r>
    </w:p>
  </w:footnote>
  <w:footnote w:id="5">
    <w:p w14:paraId="03661BC1" w14:textId="76780DC6" w:rsidR="00B4341A" w:rsidRDefault="00B4341A">
      <w:pPr>
        <w:pStyle w:val="Fodnotetekst"/>
      </w:pPr>
      <w:r>
        <w:rPr>
          <w:rStyle w:val="Fodnotehenvisning"/>
        </w:rPr>
        <w:footnoteRef/>
      </w:r>
      <w:r>
        <w:t xml:space="preserve"> </w:t>
      </w:r>
      <w:r w:rsidR="005B48C8">
        <w:t>Der er ikke korrigeret for ændringer i familiestørrelse</w:t>
      </w:r>
      <w:r w:rsidR="00390092">
        <w:t>, således at der ikke opstår en isoleret effekt af ændret familiestørrelse</w:t>
      </w:r>
      <w:r w:rsidR="00831E3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594" w:type="dxa"/>
      <w:tblInd w:w="-1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5"/>
      <w:gridCol w:w="273"/>
      <w:gridCol w:w="8426"/>
    </w:tblGrid>
    <w:tr w:rsidR="00F43F71" w:rsidRPr="00B058E7" w14:paraId="1AD489C5" w14:textId="77777777" w:rsidTr="006A35A9">
      <w:trPr>
        <w:trHeight w:val="396"/>
      </w:trPr>
      <w:tc>
        <w:tcPr>
          <w:tcW w:w="1895" w:type="dxa"/>
          <w:shd w:val="clear" w:color="auto" w:fill="auto"/>
        </w:tcPr>
        <w:p w14:paraId="58B5BB13" w14:textId="6B284188" w:rsidR="00F43F71" w:rsidRPr="0091319E" w:rsidRDefault="00D24887" w:rsidP="006A35A9">
          <w:pPr>
            <w:pStyle w:val="Logo"/>
          </w:pPr>
          <w:r>
            <w:rPr>
              <w:noProof/>
            </w:rPr>
            <w:drawing>
              <wp:anchor distT="0" distB="0" distL="114300" distR="114300" simplePos="0" relativeHeight="251658242" behindDoc="0" locked="0" layoutInCell="1" allowOverlap="1" wp14:anchorId="6D986FBE" wp14:editId="1773B3DA">
                <wp:simplePos x="0" y="0"/>
                <wp:positionH relativeFrom="column">
                  <wp:posOffset>287655</wp:posOffset>
                </wp:positionH>
                <wp:positionV relativeFrom="paragraph">
                  <wp:posOffset>424180</wp:posOffset>
                </wp:positionV>
                <wp:extent cx="447040" cy="441325"/>
                <wp:effectExtent l="0" t="0" r="0" b="3175"/>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a:extLst>
                            <a:ext uri="{28A0092B-C50C-407E-A947-70E740481C1C}">
                              <a14:useLocalDpi xmlns:a14="http://schemas.microsoft.com/office/drawing/2010/main" val="0"/>
                            </a:ext>
                          </a:extLst>
                        </a:blip>
                        <a:stretch>
                          <a:fillRect/>
                        </a:stretch>
                      </pic:blipFill>
                      <pic:spPr>
                        <a:xfrm>
                          <a:off x="0" y="0"/>
                          <a:ext cx="447040" cy="441325"/>
                        </a:xfrm>
                        <a:prstGeom prst="rect">
                          <a:avLst/>
                        </a:prstGeom>
                      </pic:spPr>
                    </pic:pic>
                  </a:graphicData>
                </a:graphic>
                <wp14:sizeRelH relativeFrom="page">
                  <wp14:pctWidth>0</wp14:pctWidth>
                </wp14:sizeRelH>
                <wp14:sizeRelV relativeFrom="page">
                  <wp14:pctHeight>0</wp14:pctHeight>
                </wp14:sizeRelV>
              </wp:anchor>
            </w:drawing>
          </w:r>
          <w:r w:rsidR="00F43F71" w:rsidRPr="0091319E">
            <w:t>CEPOS</w:t>
          </w:r>
        </w:p>
      </w:tc>
      <w:tc>
        <w:tcPr>
          <w:tcW w:w="273" w:type="dxa"/>
          <w:shd w:val="clear" w:color="auto" w:fill="auto"/>
        </w:tcPr>
        <w:p w14:paraId="4ED69DD8" w14:textId="77777777" w:rsidR="00F43F71" w:rsidRPr="009C3530" w:rsidRDefault="00F43F71" w:rsidP="006A35A9">
          <w:pPr>
            <w:pStyle w:val="BrdtekstCEPOS-notat"/>
          </w:pPr>
        </w:p>
      </w:tc>
      <w:tc>
        <w:tcPr>
          <w:tcW w:w="8426" w:type="dxa"/>
          <w:shd w:val="clear" w:color="auto" w:fill="auto"/>
        </w:tcPr>
        <w:p w14:paraId="1A724E6C" w14:textId="721A4137" w:rsidR="00F43F71" w:rsidRPr="00E84E4A" w:rsidRDefault="007A20ED" w:rsidP="006A35A9">
          <w:pPr>
            <w:pStyle w:val="Overskrift1"/>
            <w:numPr>
              <w:ilvl w:val="0"/>
              <w:numId w:val="0"/>
            </w:numPr>
            <w:spacing w:before="0"/>
            <w:ind w:left="432"/>
            <w:jc w:val="right"/>
            <w:outlineLvl w:val="0"/>
            <w:rPr>
              <w:rStyle w:val="TitelTegn"/>
              <w:color w:val="003865" w:themeColor="text2"/>
              <w:sz w:val="24"/>
              <w:szCs w:val="44"/>
            </w:rPr>
          </w:pPr>
          <w:sdt>
            <w:sdtPr>
              <w:rPr>
                <w:rStyle w:val="TitelTegn"/>
                <w:color w:val="003865" w:themeColor="text2"/>
                <w:sz w:val="24"/>
                <w:szCs w:val="44"/>
              </w:rPr>
              <w:alias w:val="Titel"/>
              <w:tag w:val=""/>
              <w:id w:val="-1439449990"/>
              <w:dataBinding w:prefixMappings="xmlns:ns0='http://purl.org/dc/elements/1.1/' xmlns:ns1='http://schemas.openxmlformats.org/package/2006/metadata/core-properties' " w:xpath="/ns1:coreProperties[1]/ns0:title[1]" w:storeItemID="{6C3C8BC8-F283-45AE-878A-BAB7291924A1}"/>
              <w:text/>
            </w:sdtPr>
            <w:sdtEndPr>
              <w:rPr>
                <w:rStyle w:val="TitelTegn"/>
              </w:rPr>
            </w:sdtEndPr>
            <w:sdtContent>
              <w:r w:rsidR="004476BB">
                <w:rPr>
                  <w:rStyle w:val="TitelTegn"/>
                  <w:color w:val="003865" w:themeColor="text2"/>
                  <w:sz w:val="24"/>
                  <w:szCs w:val="44"/>
                </w:rPr>
                <w:t>Uden økonomisk vækst ville lavindkomsternes vækst i levestandard gennem 100 år have været mindre end en tiendedel af den faktiske</w:t>
              </w:r>
            </w:sdtContent>
          </w:sdt>
        </w:p>
        <w:p w14:paraId="2E374EBE" w14:textId="16457195" w:rsidR="00F43F71" w:rsidRPr="00F272B4" w:rsidRDefault="007A20ED" w:rsidP="006A35A9">
          <w:pPr>
            <w:pStyle w:val="Overskrift1"/>
            <w:numPr>
              <w:ilvl w:val="0"/>
              <w:numId w:val="0"/>
            </w:numPr>
            <w:spacing w:before="0"/>
            <w:ind w:left="431"/>
            <w:jc w:val="right"/>
            <w:outlineLvl w:val="0"/>
            <w:rPr>
              <w:sz w:val="28"/>
            </w:rPr>
          </w:pPr>
          <w:sdt>
            <w:sdtPr>
              <w:rPr>
                <w:rStyle w:val="TitelTegn"/>
                <w:color w:val="003865" w:themeColor="text2"/>
                <w:sz w:val="24"/>
                <w:szCs w:val="44"/>
              </w:rPr>
              <w:alias w:val="Forfatter"/>
              <w:tag w:val=""/>
              <w:id w:val="2130355665"/>
              <w:dataBinding w:prefixMappings="xmlns:ns0='http://purl.org/dc/elements/1.1/' xmlns:ns1='http://schemas.openxmlformats.org/package/2006/metadata/core-properties' " w:xpath="/ns1:coreProperties[1]/ns0:creator[1]" w:storeItemID="{6C3C8BC8-F283-45AE-878A-BAB7291924A1}"/>
              <w:text/>
            </w:sdtPr>
            <w:sdtEndPr>
              <w:rPr>
                <w:rStyle w:val="TitelTegn"/>
              </w:rPr>
            </w:sdtEndPr>
            <w:sdtContent>
              <w:r w:rsidR="00E2178E">
                <w:rPr>
                  <w:rStyle w:val="TitelTegn"/>
                  <w:color w:val="003865" w:themeColor="text2"/>
                  <w:sz w:val="24"/>
                  <w:szCs w:val="44"/>
                </w:rPr>
                <w:t>Otto Brøns-Petersen (20928440)</w:t>
              </w:r>
            </w:sdtContent>
          </w:sdt>
          <w:r w:rsidR="00F43F71" w:rsidRPr="00E84E4A">
            <w:rPr>
              <w:rStyle w:val="TitelTegn"/>
              <w:color w:val="003865" w:themeColor="text2"/>
              <w:sz w:val="24"/>
              <w:szCs w:val="44"/>
            </w:rPr>
            <w:t xml:space="preserve">  · </w:t>
          </w:r>
          <w:sdt>
            <w:sdtPr>
              <w:rPr>
                <w:rStyle w:val="TitelTegn"/>
                <w:color w:val="003865" w:themeColor="text2"/>
                <w:sz w:val="24"/>
                <w:szCs w:val="44"/>
              </w:rPr>
              <w:alias w:val="Udgivelsesdato"/>
              <w:tag w:val=""/>
              <w:id w:val="217633074"/>
              <w:dataBinding w:prefixMappings="xmlns:ns0='http://schemas.microsoft.com/office/2006/coverPageProps' " w:xpath="/ns0:CoverPageProperties[1]/ns0:PublishDate[1]" w:storeItemID="{55AF091B-3C7A-41E3-B477-F2FDAA23CFDA}"/>
              <w:date w:fullDate="2021-11-30T00:00:00Z">
                <w:dateFormat w:val="dd-MM-yyyy"/>
                <w:lid w:val="da-DK"/>
                <w:storeMappedDataAs w:val="dateTime"/>
                <w:calendar w:val="gregorian"/>
              </w:date>
            </w:sdtPr>
            <w:sdtEndPr>
              <w:rPr>
                <w:rStyle w:val="TitelTegn"/>
              </w:rPr>
            </w:sdtEndPr>
            <w:sdtContent>
              <w:r w:rsidR="005524EC">
                <w:rPr>
                  <w:rStyle w:val="TitelTegn"/>
                  <w:color w:val="003865" w:themeColor="text2"/>
                  <w:sz w:val="24"/>
                  <w:szCs w:val="44"/>
                </w:rPr>
                <w:t>30</w:t>
              </w:r>
              <w:r w:rsidR="005A75C8">
                <w:rPr>
                  <w:rStyle w:val="TitelTegn"/>
                  <w:color w:val="003865" w:themeColor="text2"/>
                  <w:sz w:val="24"/>
                  <w:szCs w:val="44"/>
                </w:rPr>
                <w:t>-</w:t>
              </w:r>
              <w:r w:rsidR="00472E48">
                <w:rPr>
                  <w:rStyle w:val="TitelTegn"/>
                  <w:color w:val="003865" w:themeColor="text2"/>
                  <w:sz w:val="24"/>
                  <w:szCs w:val="44"/>
                </w:rPr>
                <w:t>11</w:t>
              </w:r>
              <w:r w:rsidR="00F40A86">
                <w:rPr>
                  <w:rStyle w:val="TitelTegn"/>
                  <w:color w:val="003865" w:themeColor="text2"/>
                  <w:sz w:val="24"/>
                  <w:szCs w:val="44"/>
                </w:rPr>
                <w:t>-2021</w:t>
              </w:r>
            </w:sdtContent>
          </w:sdt>
        </w:p>
      </w:tc>
    </w:tr>
  </w:tbl>
  <w:p w14:paraId="49921ECF" w14:textId="77777777" w:rsidR="00F43F71" w:rsidRDefault="00F43F7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A4F8" w14:textId="57ADA082" w:rsidR="00F43F71" w:rsidRPr="00A72754" w:rsidRDefault="00D24887">
    <w:pPr>
      <w:rPr>
        <w:sz w:val="2"/>
        <w:szCs w:val="2"/>
      </w:rPr>
    </w:pPr>
    <w:r>
      <w:rPr>
        <w:noProof/>
        <w:color w:val="003865" w:themeColor="text2"/>
      </w:rPr>
      <w:drawing>
        <wp:anchor distT="0" distB="0" distL="114300" distR="114300" simplePos="0" relativeHeight="251658241" behindDoc="0" locked="0" layoutInCell="1" allowOverlap="1" wp14:anchorId="676E81BC" wp14:editId="24A789B4">
          <wp:simplePos x="0" y="0"/>
          <wp:positionH relativeFrom="column">
            <wp:posOffset>5629275</wp:posOffset>
          </wp:positionH>
          <wp:positionV relativeFrom="paragraph">
            <wp:posOffset>-235585</wp:posOffset>
          </wp:positionV>
          <wp:extent cx="543560" cy="535940"/>
          <wp:effectExtent l="0" t="0" r="254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a:extLst>
                      <a:ext uri="{28A0092B-C50C-407E-A947-70E740481C1C}">
                        <a14:useLocalDpi xmlns:a14="http://schemas.microsoft.com/office/drawing/2010/main" val="0"/>
                      </a:ext>
                    </a:extLst>
                  </a:blip>
                  <a:stretch>
                    <a:fillRect/>
                  </a:stretch>
                </pic:blipFill>
                <pic:spPr>
                  <a:xfrm>
                    <a:off x="0" y="0"/>
                    <a:ext cx="543560" cy="535940"/>
                  </a:xfrm>
                  <a:prstGeom prst="rect">
                    <a:avLst/>
                  </a:prstGeom>
                </pic:spPr>
              </pic:pic>
            </a:graphicData>
          </a:graphic>
          <wp14:sizeRelH relativeFrom="page">
            <wp14:pctWidth>0</wp14:pctWidth>
          </wp14:sizeRelH>
          <wp14:sizeRelV relativeFrom="page">
            <wp14:pctHeight>0</wp14:pctHeight>
          </wp14:sizeRelV>
        </wp:anchor>
      </w:drawing>
    </w:r>
  </w:p>
  <w:tbl>
    <w:tblPr>
      <w:tblStyle w:val="Tabel-Gitter"/>
      <w:tblW w:w="1020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42"/>
      <w:gridCol w:w="8222"/>
    </w:tblGrid>
    <w:tr w:rsidR="00F43F71" w:rsidRPr="00113927" w14:paraId="7391DD7E" w14:textId="77777777" w:rsidTr="006A35A9">
      <w:trPr>
        <w:trHeight w:val="170"/>
      </w:trPr>
      <w:tc>
        <w:tcPr>
          <w:tcW w:w="1843" w:type="dxa"/>
          <w:shd w:val="clear" w:color="auto" w:fill="auto"/>
        </w:tcPr>
        <w:p w14:paraId="10DCB29C" w14:textId="77777777" w:rsidR="00F43F71" w:rsidRPr="00113927" w:rsidRDefault="00F43F71" w:rsidP="006A35A9">
          <w:pPr>
            <w:pStyle w:val="Logo"/>
            <w:spacing w:after="0"/>
          </w:pPr>
          <w:r w:rsidRPr="00113927">
            <w:t>CEPOS</w:t>
          </w:r>
        </w:p>
      </w:tc>
      <w:tc>
        <w:tcPr>
          <w:tcW w:w="142" w:type="dxa"/>
          <w:shd w:val="clear" w:color="auto" w:fill="auto"/>
        </w:tcPr>
        <w:p w14:paraId="7DBCCF87" w14:textId="77777777" w:rsidR="00F43F71" w:rsidRPr="00113927" w:rsidRDefault="00F43F71" w:rsidP="006A35A9"/>
      </w:tc>
      <w:tc>
        <w:tcPr>
          <w:tcW w:w="8222" w:type="dxa"/>
          <w:shd w:val="clear" w:color="auto" w:fill="auto"/>
        </w:tcPr>
        <w:p w14:paraId="4F726B79" w14:textId="731D0616" w:rsidR="00F43F71" w:rsidRPr="000A3B7B" w:rsidRDefault="00F43F71" w:rsidP="006A35A9">
          <w:pPr>
            <w:spacing w:after="100" w:afterAutospacing="1"/>
            <w:rPr>
              <w:rStyle w:val="TitelTegn"/>
              <w:color w:val="003865" w:themeColor="text2"/>
              <w:position w:val="12"/>
              <w:szCs w:val="44"/>
            </w:rPr>
          </w:pPr>
          <w:r w:rsidRPr="000A3B7B">
            <w:rPr>
              <w:rStyle w:val="TitelTegn"/>
              <w:color w:val="003865" w:themeColor="text2"/>
              <w:position w:val="12"/>
              <w:szCs w:val="44"/>
            </w:rPr>
            <w:t>Notat:</w:t>
          </w:r>
        </w:p>
      </w:tc>
    </w:tr>
    <w:tr w:rsidR="00F43F71" w:rsidRPr="00113927" w14:paraId="541B2075" w14:textId="77777777" w:rsidTr="006A35A9">
      <w:trPr>
        <w:trHeight w:val="472"/>
      </w:trPr>
      <w:tc>
        <w:tcPr>
          <w:tcW w:w="1843" w:type="dxa"/>
          <w:shd w:val="clear" w:color="auto" w:fill="auto"/>
        </w:tcPr>
        <w:p w14:paraId="3DEB1120" w14:textId="77777777" w:rsidR="00F43F71" w:rsidRPr="00113927" w:rsidRDefault="00F43F71" w:rsidP="006A35A9">
          <w:pPr>
            <w:rPr>
              <w:color w:val="003865" w:themeColor="text2"/>
            </w:rPr>
          </w:pPr>
        </w:p>
      </w:tc>
      <w:tc>
        <w:tcPr>
          <w:tcW w:w="142" w:type="dxa"/>
          <w:shd w:val="clear" w:color="auto" w:fill="auto"/>
        </w:tcPr>
        <w:p w14:paraId="7DFCD742" w14:textId="77777777" w:rsidR="00F43F71" w:rsidRPr="00113927" w:rsidRDefault="00F43F71" w:rsidP="006A35A9">
          <w:pPr>
            <w:pStyle w:val="BrdtekstCEPOS-notat"/>
            <w:rPr>
              <w:color w:val="003865" w:themeColor="text2"/>
            </w:rPr>
          </w:pPr>
        </w:p>
      </w:tc>
      <w:tc>
        <w:tcPr>
          <w:tcW w:w="8222" w:type="dxa"/>
          <w:shd w:val="clear" w:color="auto" w:fill="auto"/>
        </w:tcPr>
        <w:p w14:paraId="67DAE8A0" w14:textId="6CAE6E6A" w:rsidR="00F43F71" w:rsidRPr="00113927" w:rsidRDefault="007A20ED" w:rsidP="006A35A9">
          <w:pPr>
            <w:pStyle w:val="Sidehoved"/>
            <w:rPr>
              <w:color w:val="003865" w:themeColor="text2"/>
            </w:rPr>
          </w:pPr>
          <w:sdt>
            <w:sdtPr>
              <w:rPr>
                <w:rFonts w:ascii="Bebas Neue" w:hAnsi="Bebas Neue"/>
                <w:color w:val="003865" w:themeColor="text2"/>
                <w:sz w:val="52"/>
                <w:szCs w:val="52"/>
              </w:rPr>
              <w:alias w:val="Titel"/>
              <w:tag w:val=""/>
              <w:id w:val="1346139520"/>
              <w:dataBinding w:prefixMappings="xmlns:ns0='http://purl.org/dc/elements/1.1/' xmlns:ns1='http://schemas.openxmlformats.org/package/2006/metadata/core-properties' " w:xpath="/ns1:coreProperties[1]/ns0:title[1]" w:storeItemID="{6C3C8BC8-F283-45AE-878A-BAB7291924A1}"/>
              <w:text/>
            </w:sdtPr>
            <w:sdtEndPr/>
            <w:sdtContent>
              <w:r w:rsidR="00422F0F">
                <w:rPr>
                  <w:rFonts w:ascii="Bebas Neue" w:hAnsi="Bebas Neue"/>
                  <w:color w:val="003865" w:themeColor="text2"/>
                  <w:sz w:val="52"/>
                  <w:szCs w:val="52"/>
                </w:rPr>
                <w:t>Uden økonomisk vækst ville lavindkomsternes vækst i levestandard gennem 100 år have været mindre end en tiendedel af den faktiske</w:t>
              </w:r>
            </w:sdtContent>
          </w:sdt>
        </w:p>
      </w:tc>
    </w:tr>
    <w:tr w:rsidR="00F43F71" w:rsidRPr="00113927" w14:paraId="62C8FE7D" w14:textId="77777777" w:rsidTr="006A35A9">
      <w:trPr>
        <w:trHeight w:val="192"/>
      </w:trPr>
      <w:tc>
        <w:tcPr>
          <w:tcW w:w="1843" w:type="dxa"/>
          <w:shd w:val="clear" w:color="auto" w:fill="auto"/>
        </w:tcPr>
        <w:p w14:paraId="2FB91CA5" w14:textId="629EC824" w:rsidR="00F43F71" w:rsidRPr="00113927" w:rsidRDefault="007A20ED" w:rsidP="006A35A9">
          <w:pPr>
            <w:rPr>
              <w:rStyle w:val="TitelTegn"/>
              <w:color w:val="003865" w:themeColor="text2"/>
              <w:sz w:val="32"/>
            </w:rPr>
          </w:pPr>
          <w:sdt>
            <w:sdtPr>
              <w:rPr>
                <w:rStyle w:val="TitelTegn"/>
                <w:color w:val="003865" w:themeColor="text2"/>
                <w:sz w:val="32"/>
              </w:rPr>
              <w:alias w:val="Udgivelsesdato"/>
              <w:tag w:val=""/>
              <w:id w:val="396558258"/>
              <w:dataBinding w:prefixMappings="xmlns:ns0='http://schemas.microsoft.com/office/2006/coverPageProps' " w:xpath="/ns0:CoverPageProperties[1]/ns0:PublishDate[1]" w:storeItemID="{55AF091B-3C7A-41E3-B477-F2FDAA23CFDA}"/>
              <w:date w:fullDate="2021-11-30T00:00:00Z">
                <w:dateFormat w:val="dd-MM-yyyy"/>
                <w:lid w:val="da-DK"/>
                <w:storeMappedDataAs w:val="dateTime"/>
                <w:calendar w:val="gregorian"/>
              </w:date>
            </w:sdtPr>
            <w:sdtEndPr>
              <w:rPr>
                <w:rStyle w:val="TitelTegn"/>
              </w:rPr>
            </w:sdtEndPr>
            <w:sdtContent>
              <w:r w:rsidR="005524EC">
                <w:rPr>
                  <w:rStyle w:val="TitelTegn"/>
                  <w:color w:val="003865" w:themeColor="text2"/>
                  <w:sz w:val="32"/>
                </w:rPr>
                <w:t>30</w:t>
              </w:r>
              <w:r w:rsidR="00F40A86">
                <w:rPr>
                  <w:rStyle w:val="TitelTegn"/>
                  <w:color w:val="003865" w:themeColor="text2"/>
                  <w:sz w:val="32"/>
                </w:rPr>
                <w:t>-</w:t>
              </w:r>
              <w:r w:rsidR="00472E48">
                <w:rPr>
                  <w:rStyle w:val="TitelTegn"/>
                  <w:color w:val="003865" w:themeColor="text2"/>
                  <w:sz w:val="32"/>
                </w:rPr>
                <w:t>11</w:t>
              </w:r>
              <w:r w:rsidR="00F40A86">
                <w:rPr>
                  <w:rStyle w:val="TitelTegn"/>
                  <w:color w:val="003865" w:themeColor="text2"/>
                  <w:sz w:val="32"/>
                </w:rPr>
                <w:t>-2021</w:t>
              </w:r>
            </w:sdtContent>
          </w:sdt>
        </w:p>
      </w:tc>
      <w:tc>
        <w:tcPr>
          <w:tcW w:w="142" w:type="dxa"/>
          <w:shd w:val="clear" w:color="auto" w:fill="auto"/>
        </w:tcPr>
        <w:p w14:paraId="6B8CAE3F" w14:textId="77777777" w:rsidR="00F43F71" w:rsidRPr="00113927" w:rsidRDefault="00F43F71" w:rsidP="006A35A9"/>
      </w:tc>
      <w:tc>
        <w:tcPr>
          <w:tcW w:w="8222" w:type="dxa"/>
          <w:shd w:val="clear" w:color="auto" w:fill="auto"/>
        </w:tcPr>
        <w:p w14:paraId="0F058B98" w14:textId="7394B50A" w:rsidR="00F43F71" w:rsidRPr="00113927" w:rsidRDefault="00F43F71" w:rsidP="006A35A9">
          <w:pPr>
            <w:rPr>
              <w:rStyle w:val="TitelTegn"/>
              <w:color w:val="003865" w:themeColor="text2"/>
              <w:sz w:val="32"/>
              <w:szCs w:val="32"/>
            </w:rPr>
          </w:pPr>
          <w:r w:rsidRPr="00113927">
            <w:rPr>
              <w:rFonts w:ascii="Bebas Neue" w:hAnsi="Bebas Neue"/>
              <w:color w:val="003865" w:themeColor="text2"/>
              <w:sz w:val="32"/>
              <w:szCs w:val="32"/>
            </w:rPr>
            <w:t>Af</w:t>
          </w:r>
          <w:r w:rsidRPr="00113927">
            <w:rPr>
              <w:rStyle w:val="Overskrift1Tegn"/>
              <w:color w:val="003865" w:themeColor="text2"/>
              <w:sz w:val="32"/>
              <w:szCs w:val="32"/>
            </w:rPr>
            <w:t xml:space="preserve"> </w:t>
          </w:r>
          <w:sdt>
            <w:sdtPr>
              <w:rPr>
                <w:rFonts w:ascii="Bebas Neue" w:hAnsi="Bebas Neue"/>
                <w:color w:val="003865" w:themeColor="text2"/>
                <w:sz w:val="32"/>
                <w:szCs w:val="32"/>
              </w:rPr>
              <w:alias w:val="Forfatter"/>
              <w:tag w:val=""/>
              <w:id w:val="-834690821"/>
              <w:dataBinding w:prefixMappings="xmlns:ns0='http://purl.org/dc/elements/1.1/' xmlns:ns1='http://schemas.openxmlformats.org/package/2006/metadata/core-properties' " w:xpath="/ns1:coreProperties[1]/ns0:creator[1]" w:storeItemID="{6C3C8BC8-F283-45AE-878A-BAB7291924A1}"/>
              <w:text/>
            </w:sdtPr>
            <w:sdtEndPr/>
            <w:sdtContent>
              <w:r w:rsidR="00E2178E">
                <w:rPr>
                  <w:rFonts w:ascii="Bebas Neue" w:hAnsi="Bebas Neue"/>
                  <w:color w:val="003865" w:themeColor="text2"/>
                  <w:sz w:val="32"/>
                  <w:szCs w:val="32"/>
                </w:rPr>
                <w:t>Otto Brøns-Petersen (20928440)</w:t>
              </w:r>
            </w:sdtContent>
          </w:sdt>
          <w:r w:rsidRPr="00113927">
            <w:rPr>
              <w:rFonts w:ascii="Bebas Neue" w:hAnsi="Bebas Neue"/>
              <w:color w:val="003865" w:themeColor="text2"/>
              <w:sz w:val="32"/>
              <w:szCs w:val="32"/>
            </w:rPr>
            <w:t xml:space="preserve">  </w:t>
          </w:r>
        </w:p>
      </w:tc>
    </w:tr>
  </w:tbl>
  <w:p w14:paraId="53D7EB0F" w14:textId="77777777" w:rsidR="00F43F71" w:rsidRPr="000A3B7B" w:rsidRDefault="00F43F71" w:rsidP="006A35A9">
    <w:pPr>
      <w:pStyle w:val="Sidehoved"/>
    </w:pPr>
  </w:p>
  <w:p w14:paraId="4921302B" w14:textId="39DFBEF5" w:rsidR="00F43F71" w:rsidRDefault="00F43F71">
    <w:pPr>
      <w:pStyle w:val="Sidehoved"/>
    </w:pPr>
    <w:r>
      <w:rPr>
        <w:noProof/>
      </w:rPr>
      <w:drawing>
        <wp:anchor distT="0" distB="0" distL="114300" distR="114300" simplePos="0" relativeHeight="251658240" behindDoc="1" locked="0" layoutInCell="1" allowOverlap="1" wp14:anchorId="797815C9" wp14:editId="0D1F7E17">
          <wp:simplePos x="0" y="0"/>
          <wp:positionH relativeFrom="leftMargin">
            <wp:posOffset>0</wp:posOffset>
          </wp:positionH>
          <wp:positionV relativeFrom="page">
            <wp:posOffset>0</wp:posOffset>
          </wp:positionV>
          <wp:extent cx="8348345" cy="11807825"/>
          <wp:effectExtent l="0" t="0" r="0" b="3175"/>
          <wp:wrapNone/>
          <wp:docPr id="3" name="WordPictureWatermark"/>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2">
                    <a:extLst>
                      <a:ext uri="{28A0092B-C50C-407E-A947-70E740481C1C}">
                        <a14:useLocalDpi xmlns:a14="http://schemas.microsoft.com/office/drawing/2010/main" val="0"/>
                      </a:ext>
                    </a:extLst>
                  </a:blip>
                  <a:stretch>
                    <a:fillRect/>
                  </a:stretch>
                </pic:blipFill>
                <pic:spPr>
                  <a:xfrm>
                    <a:off x="0" y="0"/>
                    <a:ext cx="8348345" cy="1180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FE6BF5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FE4C7302"/>
    <w:lvl w:ilvl="0" w:tplc="2BD63EA8">
      <w:start w:val="1"/>
      <w:numFmt w:val="bullet"/>
      <w:lvlText w:val=""/>
      <w:lvlJc w:val="left"/>
      <w:pPr>
        <w:tabs>
          <w:tab w:val="num" w:pos="643"/>
        </w:tabs>
        <w:ind w:left="643" w:hanging="360"/>
      </w:pPr>
      <w:rPr>
        <w:rFonts w:ascii="Symbol" w:hAnsi="Symbol" w:hint="default"/>
      </w:rPr>
    </w:lvl>
    <w:lvl w:ilvl="1" w:tplc="1B44862C">
      <w:numFmt w:val="decimal"/>
      <w:lvlText w:val=""/>
      <w:lvlJc w:val="left"/>
    </w:lvl>
    <w:lvl w:ilvl="2" w:tplc="ECB2FFDE">
      <w:numFmt w:val="decimal"/>
      <w:lvlText w:val=""/>
      <w:lvlJc w:val="left"/>
    </w:lvl>
    <w:lvl w:ilvl="3" w:tplc="6ED66F30">
      <w:numFmt w:val="decimal"/>
      <w:lvlText w:val=""/>
      <w:lvlJc w:val="left"/>
    </w:lvl>
    <w:lvl w:ilvl="4" w:tplc="129660A0">
      <w:numFmt w:val="decimal"/>
      <w:lvlText w:val=""/>
      <w:lvlJc w:val="left"/>
    </w:lvl>
    <w:lvl w:ilvl="5" w:tplc="43403CE2">
      <w:numFmt w:val="decimal"/>
      <w:lvlText w:val=""/>
      <w:lvlJc w:val="left"/>
    </w:lvl>
    <w:lvl w:ilvl="6" w:tplc="3D124362">
      <w:numFmt w:val="decimal"/>
      <w:lvlText w:val=""/>
      <w:lvlJc w:val="left"/>
    </w:lvl>
    <w:lvl w:ilvl="7" w:tplc="868AE1FC">
      <w:numFmt w:val="decimal"/>
      <w:lvlText w:val=""/>
      <w:lvlJc w:val="left"/>
    </w:lvl>
    <w:lvl w:ilvl="8" w:tplc="2E7C9104">
      <w:numFmt w:val="decimal"/>
      <w:lvlText w:val=""/>
      <w:lvlJc w:val="left"/>
    </w:lvl>
  </w:abstractNum>
  <w:abstractNum w:abstractNumId="2" w15:restartNumberingAfterBreak="0">
    <w:nsid w:val="FFFFFF89"/>
    <w:multiLevelType w:val="hybridMultilevel"/>
    <w:tmpl w:val="751AF6D6"/>
    <w:lvl w:ilvl="0" w:tplc="D012D794">
      <w:start w:val="1"/>
      <w:numFmt w:val="bullet"/>
      <w:lvlText w:val=""/>
      <w:lvlJc w:val="left"/>
      <w:pPr>
        <w:tabs>
          <w:tab w:val="num" w:pos="360"/>
        </w:tabs>
        <w:ind w:left="360" w:hanging="360"/>
      </w:pPr>
      <w:rPr>
        <w:rFonts w:ascii="Symbol" w:hAnsi="Symbol" w:hint="default"/>
      </w:rPr>
    </w:lvl>
    <w:lvl w:ilvl="1" w:tplc="DBDC07E2">
      <w:numFmt w:val="decimal"/>
      <w:lvlText w:val=""/>
      <w:lvlJc w:val="left"/>
    </w:lvl>
    <w:lvl w:ilvl="2" w:tplc="DB28259E">
      <w:numFmt w:val="decimal"/>
      <w:lvlText w:val=""/>
      <w:lvlJc w:val="left"/>
    </w:lvl>
    <w:lvl w:ilvl="3" w:tplc="AA76E9D0">
      <w:numFmt w:val="decimal"/>
      <w:lvlText w:val=""/>
      <w:lvlJc w:val="left"/>
    </w:lvl>
    <w:lvl w:ilvl="4" w:tplc="78688F16">
      <w:numFmt w:val="decimal"/>
      <w:lvlText w:val=""/>
      <w:lvlJc w:val="left"/>
    </w:lvl>
    <w:lvl w:ilvl="5" w:tplc="CB6CA432">
      <w:numFmt w:val="decimal"/>
      <w:lvlText w:val=""/>
      <w:lvlJc w:val="left"/>
    </w:lvl>
    <w:lvl w:ilvl="6" w:tplc="8A7E8556">
      <w:numFmt w:val="decimal"/>
      <w:lvlText w:val=""/>
      <w:lvlJc w:val="left"/>
    </w:lvl>
    <w:lvl w:ilvl="7" w:tplc="A606C114">
      <w:numFmt w:val="decimal"/>
      <w:lvlText w:val=""/>
      <w:lvlJc w:val="left"/>
    </w:lvl>
    <w:lvl w:ilvl="8" w:tplc="D17C00AA">
      <w:numFmt w:val="decimal"/>
      <w:lvlText w:val=""/>
      <w:lvlJc w:val="left"/>
    </w:lvl>
  </w:abstractNum>
  <w:abstractNum w:abstractNumId="3" w15:restartNumberingAfterBreak="0">
    <w:nsid w:val="010977A2"/>
    <w:multiLevelType w:val="hybridMultilevel"/>
    <w:tmpl w:val="9312BC64"/>
    <w:lvl w:ilvl="0" w:tplc="B64042FA">
      <w:start w:val="2"/>
      <w:numFmt w:val="bullet"/>
      <w:lvlText w:val="-"/>
      <w:lvlJc w:val="left"/>
      <w:pPr>
        <w:ind w:left="360" w:hanging="360"/>
      </w:pPr>
      <w:rPr>
        <w:rFonts w:ascii="Lato" w:eastAsiaTheme="minorHAnsi" w:hAnsi="Lato" w:cs="Times New Roman" w:hint="default"/>
        <w:b/>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58E381A"/>
    <w:multiLevelType w:val="hybridMultilevel"/>
    <w:tmpl w:val="1C089F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7784183"/>
    <w:multiLevelType w:val="hybridMultilevel"/>
    <w:tmpl w:val="3642EC8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7E6256C"/>
    <w:multiLevelType w:val="hybridMultilevel"/>
    <w:tmpl w:val="9ED01D46"/>
    <w:lvl w:ilvl="0" w:tplc="04060005">
      <w:start w:val="1"/>
      <w:numFmt w:val="bullet"/>
      <w:lvlText w:val=""/>
      <w:lvlJc w:val="left"/>
      <w:pPr>
        <w:ind w:left="360" w:hanging="360"/>
      </w:pPr>
      <w:rPr>
        <w:rFonts w:ascii="Wingdings" w:hAnsi="Wingdings" w:hint="default"/>
        <w:b/>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92D353C"/>
    <w:multiLevelType w:val="hybridMultilevel"/>
    <w:tmpl w:val="08FC00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95246C2"/>
    <w:multiLevelType w:val="hybridMultilevel"/>
    <w:tmpl w:val="218437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CFC4F1A"/>
    <w:multiLevelType w:val="hybridMultilevel"/>
    <w:tmpl w:val="AC68ABC0"/>
    <w:lvl w:ilvl="0" w:tplc="5946626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105D62EE"/>
    <w:multiLevelType w:val="hybridMultilevel"/>
    <w:tmpl w:val="345AB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1C90867"/>
    <w:multiLevelType w:val="multilevel"/>
    <w:tmpl w:val="D1DC6E0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125B5386"/>
    <w:multiLevelType w:val="hybridMultilevel"/>
    <w:tmpl w:val="0A3C1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3B23DD8"/>
    <w:multiLevelType w:val="hybridMultilevel"/>
    <w:tmpl w:val="218EA9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42925C3"/>
    <w:multiLevelType w:val="hybridMultilevel"/>
    <w:tmpl w:val="D480EAF0"/>
    <w:lvl w:ilvl="0" w:tplc="B64042FA">
      <w:start w:val="2"/>
      <w:numFmt w:val="bullet"/>
      <w:lvlText w:val="-"/>
      <w:lvlJc w:val="left"/>
      <w:pPr>
        <w:ind w:left="720" w:hanging="360"/>
      </w:pPr>
      <w:rPr>
        <w:rFonts w:ascii="Lato" w:eastAsiaTheme="minorHAnsi" w:hAnsi="Lato"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5B92121"/>
    <w:multiLevelType w:val="hybridMultilevel"/>
    <w:tmpl w:val="30BCE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5FE5F7F"/>
    <w:multiLevelType w:val="hybridMultilevel"/>
    <w:tmpl w:val="C422D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9521681"/>
    <w:multiLevelType w:val="hybridMultilevel"/>
    <w:tmpl w:val="F112C700"/>
    <w:lvl w:ilvl="0" w:tplc="D3BC7556">
      <w:start w:val="19"/>
      <w:numFmt w:val="bullet"/>
      <w:lvlText w:val="-"/>
      <w:lvlJc w:val="left"/>
      <w:pPr>
        <w:ind w:left="720" w:hanging="360"/>
      </w:pPr>
      <w:rPr>
        <w:rFonts w:ascii="Lato" w:eastAsiaTheme="minorHAnsi" w:hAnsi="Lat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BE83EE4"/>
    <w:multiLevelType w:val="hybridMultilevel"/>
    <w:tmpl w:val="F8EAC3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1E1B298E"/>
    <w:multiLevelType w:val="hybridMultilevel"/>
    <w:tmpl w:val="D9287F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1EC21DB0"/>
    <w:multiLevelType w:val="hybridMultilevel"/>
    <w:tmpl w:val="D62CF4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20F62DD"/>
    <w:multiLevelType w:val="hybridMultilevel"/>
    <w:tmpl w:val="46626DB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24A45B76"/>
    <w:multiLevelType w:val="hybridMultilevel"/>
    <w:tmpl w:val="267A8C9C"/>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251B288F"/>
    <w:multiLevelType w:val="hybridMultilevel"/>
    <w:tmpl w:val="925A287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6DC082A"/>
    <w:multiLevelType w:val="hybridMultilevel"/>
    <w:tmpl w:val="DB5014E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2C3111F4"/>
    <w:multiLevelType w:val="hybridMultilevel"/>
    <w:tmpl w:val="B6C8C7F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3B43C5B"/>
    <w:multiLevelType w:val="hybridMultilevel"/>
    <w:tmpl w:val="520878A0"/>
    <w:lvl w:ilvl="0" w:tplc="04060001">
      <w:start w:val="1"/>
      <w:numFmt w:val="bullet"/>
      <w:lvlText w:val=""/>
      <w:lvlJc w:val="left"/>
      <w:pPr>
        <w:ind w:left="828" w:hanging="360"/>
      </w:pPr>
      <w:rPr>
        <w:rFonts w:ascii="Symbol" w:hAnsi="Symbol" w:hint="default"/>
      </w:rPr>
    </w:lvl>
    <w:lvl w:ilvl="1" w:tplc="04060003" w:tentative="1">
      <w:start w:val="1"/>
      <w:numFmt w:val="bullet"/>
      <w:lvlText w:val="o"/>
      <w:lvlJc w:val="left"/>
      <w:pPr>
        <w:ind w:left="1548" w:hanging="360"/>
      </w:pPr>
      <w:rPr>
        <w:rFonts w:ascii="Courier New" w:hAnsi="Courier New" w:cs="Courier New" w:hint="default"/>
      </w:rPr>
    </w:lvl>
    <w:lvl w:ilvl="2" w:tplc="04060005" w:tentative="1">
      <w:start w:val="1"/>
      <w:numFmt w:val="bullet"/>
      <w:lvlText w:val=""/>
      <w:lvlJc w:val="left"/>
      <w:pPr>
        <w:ind w:left="2268" w:hanging="360"/>
      </w:pPr>
      <w:rPr>
        <w:rFonts w:ascii="Wingdings" w:hAnsi="Wingdings" w:hint="default"/>
      </w:rPr>
    </w:lvl>
    <w:lvl w:ilvl="3" w:tplc="04060001" w:tentative="1">
      <w:start w:val="1"/>
      <w:numFmt w:val="bullet"/>
      <w:lvlText w:val=""/>
      <w:lvlJc w:val="left"/>
      <w:pPr>
        <w:ind w:left="2988" w:hanging="360"/>
      </w:pPr>
      <w:rPr>
        <w:rFonts w:ascii="Symbol" w:hAnsi="Symbol" w:hint="default"/>
      </w:rPr>
    </w:lvl>
    <w:lvl w:ilvl="4" w:tplc="04060003" w:tentative="1">
      <w:start w:val="1"/>
      <w:numFmt w:val="bullet"/>
      <w:lvlText w:val="o"/>
      <w:lvlJc w:val="left"/>
      <w:pPr>
        <w:ind w:left="3708" w:hanging="360"/>
      </w:pPr>
      <w:rPr>
        <w:rFonts w:ascii="Courier New" w:hAnsi="Courier New" w:cs="Courier New" w:hint="default"/>
      </w:rPr>
    </w:lvl>
    <w:lvl w:ilvl="5" w:tplc="04060005" w:tentative="1">
      <w:start w:val="1"/>
      <w:numFmt w:val="bullet"/>
      <w:lvlText w:val=""/>
      <w:lvlJc w:val="left"/>
      <w:pPr>
        <w:ind w:left="4428" w:hanging="360"/>
      </w:pPr>
      <w:rPr>
        <w:rFonts w:ascii="Wingdings" w:hAnsi="Wingdings" w:hint="default"/>
      </w:rPr>
    </w:lvl>
    <w:lvl w:ilvl="6" w:tplc="04060001" w:tentative="1">
      <w:start w:val="1"/>
      <w:numFmt w:val="bullet"/>
      <w:lvlText w:val=""/>
      <w:lvlJc w:val="left"/>
      <w:pPr>
        <w:ind w:left="5148" w:hanging="360"/>
      </w:pPr>
      <w:rPr>
        <w:rFonts w:ascii="Symbol" w:hAnsi="Symbol" w:hint="default"/>
      </w:rPr>
    </w:lvl>
    <w:lvl w:ilvl="7" w:tplc="04060003" w:tentative="1">
      <w:start w:val="1"/>
      <w:numFmt w:val="bullet"/>
      <w:lvlText w:val="o"/>
      <w:lvlJc w:val="left"/>
      <w:pPr>
        <w:ind w:left="5868" w:hanging="360"/>
      </w:pPr>
      <w:rPr>
        <w:rFonts w:ascii="Courier New" w:hAnsi="Courier New" w:cs="Courier New" w:hint="default"/>
      </w:rPr>
    </w:lvl>
    <w:lvl w:ilvl="8" w:tplc="04060005" w:tentative="1">
      <w:start w:val="1"/>
      <w:numFmt w:val="bullet"/>
      <w:lvlText w:val=""/>
      <w:lvlJc w:val="left"/>
      <w:pPr>
        <w:ind w:left="6588" w:hanging="360"/>
      </w:pPr>
      <w:rPr>
        <w:rFonts w:ascii="Wingdings" w:hAnsi="Wingdings" w:hint="default"/>
      </w:rPr>
    </w:lvl>
  </w:abstractNum>
  <w:abstractNum w:abstractNumId="27" w15:restartNumberingAfterBreak="0">
    <w:nsid w:val="36D67FDF"/>
    <w:multiLevelType w:val="hybridMultilevel"/>
    <w:tmpl w:val="E82C9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3C821499"/>
    <w:multiLevelType w:val="hybridMultilevel"/>
    <w:tmpl w:val="BFEAFEF6"/>
    <w:lvl w:ilvl="0" w:tplc="EAE600AE">
      <w:start w:val="1"/>
      <w:numFmt w:val="decimal"/>
      <w:pStyle w:val="Nummereretliste"/>
      <w:lvlText w:val="%1."/>
      <w:lvlJc w:val="left"/>
      <w:pPr>
        <w:ind w:left="720" w:hanging="360"/>
      </w:pPr>
      <w:rPr>
        <w:rFonts w:ascii="Bebas Neue" w:hAnsi="Bebas Neue" w:hint="default"/>
        <w:color w:val="BCA9A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3FD752BA"/>
    <w:multiLevelType w:val="hybridMultilevel"/>
    <w:tmpl w:val="0AAA7D9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35E2D27"/>
    <w:multiLevelType w:val="hybridMultilevel"/>
    <w:tmpl w:val="D3D0678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495C2598"/>
    <w:multiLevelType w:val="hybridMultilevel"/>
    <w:tmpl w:val="E3C83116"/>
    <w:lvl w:ilvl="0" w:tplc="943C33E4">
      <w:start w:val="1"/>
      <w:numFmt w:val="bullet"/>
      <w:lvlText w:val="•"/>
      <w:lvlJc w:val="left"/>
      <w:pPr>
        <w:tabs>
          <w:tab w:val="num" w:pos="720"/>
        </w:tabs>
        <w:ind w:left="720" w:hanging="360"/>
      </w:pPr>
      <w:rPr>
        <w:rFonts w:ascii="Arial" w:hAnsi="Arial" w:hint="default"/>
      </w:rPr>
    </w:lvl>
    <w:lvl w:ilvl="1" w:tplc="0AD03FE4" w:tentative="1">
      <w:start w:val="1"/>
      <w:numFmt w:val="bullet"/>
      <w:lvlText w:val="•"/>
      <w:lvlJc w:val="left"/>
      <w:pPr>
        <w:tabs>
          <w:tab w:val="num" w:pos="1440"/>
        </w:tabs>
        <w:ind w:left="1440" w:hanging="360"/>
      </w:pPr>
      <w:rPr>
        <w:rFonts w:ascii="Arial" w:hAnsi="Arial" w:hint="default"/>
      </w:rPr>
    </w:lvl>
    <w:lvl w:ilvl="2" w:tplc="78C6E1AE" w:tentative="1">
      <w:start w:val="1"/>
      <w:numFmt w:val="bullet"/>
      <w:lvlText w:val="•"/>
      <w:lvlJc w:val="left"/>
      <w:pPr>
        <w:tabs>
          <w:tab w:val="num" w:pos="2160"/>
        </w:tabs>
        <w:ind w:left="2160" w:hanging="360"/>
      </w:pPr>
      <w:rPr>
        <w:rFonts w:ascii="Arial" w:hAnsi="Arial" w:hint="default"/>
      </w:rPr>
    </w:lvl>
    <w:lvl w:ilvl="3" w:tplc="71A07A20" w:tentative="1">
      <w:start w:val="1"/>
      <w:numFmt w:val="bullet"/>
      <w:lvlText w:val="•"/>
      <w:lvlJc w:val="left"/>
      <w:pPr>
        <w:tabs>
          <w:tab w:val="num" w:pos="2880"/>
        </w:tabs>
        <w:ind w:left="2880" w:hanging="360"/>
      </w:pPr>
      <w:rPr>
        <w:rFonts w:ascii="Arial" w:hAnsi="Arial" w:hint="default"/>
      </w:rPr>
    </w:lvl>
    <w:lvl w:ilvl="4" w:tplc="C49C12E2" w:tentative="1">
      <w:start w:val="1"/>
      <w:numFmt w:val="bullet"/>
      <w:lvlText w:val="•"/>
      <w:lvlJc w:val="left"/>
      <w:pPr>
        <w:tabs>
          <w:tab w:val="num" w:pos="3600"/>
        </w:tabs>
        <w:ind w:left="3600" w:hanging="360"/>
      </w:pPr>
      <w:rPr>
        <w:rFonts w:ascii="Arial" w:hAnsi="Arial" w:hint="default"/>
      </w:rPr>
    </w:lvl>
    <w:lvl w:ilvl="5" w:tplc="D49E43B6" w:tentative="1">
      <w:start w:val="1"/>
      <w:numFmt w:val="bullet"/>
      <w:lvlText w:val="•"/>
      <w:lvlJc w:val="left"/>
      <w:pPr>
        <w:tabs>
          <w:tab w:val="num" w:pos="4320"/>
        </w:tabs>
        <w:ind w:left="4320" w:hanging="360"/>
      </w:pPr>
      <w:rPr>
        <w:rFonts w:ascii="Arial" w:hAnsi="Arial" w:hint="default"/>
      </w:rPr>
    </w:lvl>
    <w:lvl w:ilvl="6" w:tplc="EE888662" w:tentative="1">
      <w:start w:val="1"/>
      <w:numFmt w:val="bullet"/>
      <w:lvlText w:val="•"/>
      <w:lvlJc w:val="left"/>
      <w:pPr>
        <w:tabs>
          <w:tab w:val="num" w:pos="5040"/>
        </w:tabs>
        <w:ind w:left="5040" w:hanging="360"/>
      </w:pPr>
      <w:rPr>
        <w:rFonts w:ascii="Arial" w:hAnsi="Arial" w:hint="default"/>
      </w:rPr>
    </w:lvl>
    <w:lvl w:ilvl="7" w:tplc="DBBC6F74" w:tentative="1">
      <w:start w:val="1"/>
      <w:numFmt w:val="bullet"/>
      <w:lvlText w:val="•"/>
      <w:lvlJc w:val="left"/>
      <w:pPr>
        <w:tabs>
          <w:tab w:val="num" w:pos="5760"/>
        </w:tabs>
        <w:ind w:left="5760" w:hanging="360"/>
      </w:pPr>
      <w:rPr>
        <w:rFonts w:ascii="Arial" w:hAnsi="Arial" w:hint="default"/>
      </w:rPr>
    </w:lvl>
    <w:lvl w:ilvl="8" w:tplc="2C7AA75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9DB2A7C"/>
    <w:multiLevelType w:val="hybridMultilevel"/>
    <w:tmpl w:val="263C143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375684B"/>
    <w:multiLevelType w:val="hybridMultilevel"/>
    <w:tmpl w:val="99AE16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70938A5"/>
    <w:multiLevelType w:val="hybridMultilevel"/>
    <w:tmpl w:val="68028D1A"/>
    <w:lvl w:ilvl="0" w:tplc="B7527948">
      <w:start w:val="1"/>
      <w:numFmt w:val="decimal"/>
      <w:pStyle w:val="NumberedHeading1"/>
      <w:lvlText w:val="%1."/>
      <w:lvlJc w:val="left"/>
      <w:pPr>
        <w:ind w:left="750" w:hanging="39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9B82506"/>
    <w:multiLevelType w:val="hybridMultilevel"/>
    <w:tmpl w:val="3F6A423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6" w15:restartNumberingAfterBreak="0">
    <w:nsid w:val="5B97028D"/>
    <w:multiLevelType w:val="hybridMultilevel"/>
    <w:tmpl w:val="190A154E"/>
    <w:lvl w:ilvl="0" w:tplc="BE34845A">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0F85454"/>
    <w:multiLevelType w:val="hybridMultilevel"/>
    <w:tmpl w:val="BB9012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6517290"/>
    <w:multiLevelType w:val="hybridMultilevel"/>
    <w:tmpl w:val="610ED03A"/>
    <w:lvl w:ilvl="0" w:tplc="1772B54A">
      <w:start w:val="2020"/>
      <w:numFmt w:val="bullet"/>
      <w:lvlText w:val="-"/>
      <w:lvlJc w:val="left"/>
      <w:pPr>
        <w:ind w:left="720" w:hanging="360"/>
      </w:pPr>
      <w:rPr>
        <w:rFonts w:ascii="Lato" w:eastAsiaTheme="minorHAnsi" w:hAnsi="Lat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B7531AE"/>
    <w:multiLevelType w:val="hybridMultilevel"/>
    <w:tmpl w:val="25D6CF82"/>
    <w:lvl w:ilvl="0" w:tplc="3726F706">
      <w:start w:val="1"/>
      <w:numFmt w:val="bullet"/>
      <w:pStyle w:val="ListeCEPOS-notat"/>
      <w:lvlText w:val=""/>
      <w:lvlJc w:val="left"/>
      <w:pPr>
        <w:ind w:left="720" w:hanging="360"/>
      </w:pPr>
      <w:rPr>
        <w:rFonts w:ascii="Wingdings" w:hAnsi="Wingdings" w:hint="default"/>
        <w:color w:val="BCA9A0"/>
      </w:rPr>
    </w:lvl>
    <w:lvl w:ilvl="1" w:tplc="3F8C39B8">
      <w:start w:val="1"/>
      <w:numFmt w:val="bullet"/>
      <w:lvlText w:val=""/>
      <w:lvlJc w:val="left"/>
      <w:pPr>
        <w:ind w:left="1440" w:hanging="360"/>
      </w:pPr>
      <w:rPr>
        <w:rFonts w:ascii="Wingdings" w:hAnsi="Wingdings" w:hint="default"/>
        <w:color w:val="BCA9A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BD16E8E"/>
    <w:multiLevelType w:val="hybridMultilevel"/>
    <w:tmpl w:val="039AADCC"/>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41" w15:restartNumberingAfterBreak="0">
    <w:nsid w:val="73A544DA"/>
    <w:multiLevelType w:val="hybridMultilevel"/>
    <w:tmpl w:val="25940C4E"/>
    <w:lvl w:ilvl="0" w:tplc="50CCFEB8">
      <w:start w:val="1"/>
      <w:numFmt w:val="bullet"/>
      <w:lvlText w:val="•"/>
      <w:lvlJc w:val="left"/>
      <w:pPr>
        <w:tabs>
          <w:tab w:val="num" w:pos="720"/>
        </w:tabs>
        <w:ind w:left="720" w:hanging="360"/>
      </w:pPr>
      <w:rPr>
        <w:rFonts w:ascii="Arial" w:hAnsi="Arial" w:hint="default"/>
      </w:rPr>
    </w:lvl>
    <w:lvl w:ilvl="1" w:tplc="77D25872" w:tentative="1">
      <w:start w:val="1"/>
      <w:numFmt w:val="bullet"/>
      <w:lvlText w:val="•"/>
      <w:lvlJc w:val="left"/>
      <w:pPr>
        <w:tabs>
          <w:tab w:val="num" w:pos="1440"/>
        </w:tabs>
        <w:ind w:left="1440" w:hanging="360"/>
      </w:pPr>
      <w:rPr>
        <w:rFonts w:ascii="Arial" w:hAnsi="Arial" w:hint="default"/>
      </w:rPr>
    </w:lvl>
    <w:lvl w:ilvl="2" w:tplc="9830E73C" w:tentative="1">
      <w:start w:val="1"/>
      <w:numFmt w:val="bullet"/>
      <w:lvlText w:val="•"/>
      <w:lvlJc w:val="left"/>
      <w:pPr>
        <w:tabs>
          <w:tab w:val="num" w:pos="2160"/>
        </w:tabs>
        <w:ind w:left="2160" w:hanging="360"/>
      </w:pPr>
      <w:rPr>
        <w:rFonts w:ascii="Arial" w:hAnsi="Arial" w:hint="default"/>
      </w:rPr>
    </w:lvl>
    <w:lvl w:ilvl="3" w:tplc="94DC651C" w:tentative="1">
      <w:start w:val="1"/>
      <w:numFmt w:val="bullet"/>
      <w:lvlText w:val="•"/>
      <w:lvlJc w:val="left"/>
      <w:pPr>
        <w:tabs>
          <w:tab w:val="num" w:pos="2880"/>
        </w:tabs>
        <w:ind w:left="2880" w:hanging="360"/>
      </w:pPr>
      <w:rPr>
        <w:rFonts w:ascii="Arial" w:hAnsi="Arial" w:hint="default"/>
      </w:rPr>
    </w:lvl>
    <w:lvl w:ilvl="4" w:tplc="5A24AE58" w:tentative="1">
      <w:start w:val="1"/>
      <w:numFmt w:val="bullet"/>
      <w:lvlText w:val="•"/>
      <w:lvlJc w:val="left"/>
      <w:pPr>
        <w:tabs>
          <w:tab w:val="num" w:pos="3600"/>
        </w:tabs>
        <w:ind w:left="3600" w:hanging="360"/>
      </w:pPr>
      <w:rPr>
        <w:rFonts w:ascii="Arial" w:hAnsi="Arial" w:hint="default"/>
      </w:rPr>
    </w:lvl>
    <w:lvl w:ilvl="5" w:tplc="DE4479BC" w:tentative="1">
      <w:start w:val="1"/>
      <w:numFmt w:val="bullet"/>
      <w:lvlText w:val="•"/>
      <w:lvlJc w:val="left"/>
      <w:pPr>
        <w:tabs>
          <w:tab w:val="num" w:pos="4320"/>
        </w:tabs>
        <w:ind w:left="4320" w:hanging="360"/>
      </w:pPr>
      <w:rPr>
        <w:rFonts w:ascii="Arial" w:hAnsi="Arial" w:hint="default"/>
      </w:rPr>
    </w:lvl>
    <w:lvl w:ilvl="6" w:tplc="9EAC98D4" w:tentative="1">
      <w:start w:val="1"/>
      <w:numFmt w:val="bullet"/>
      <w:lvlText w:val="•"/>
      <w:lvlJc w:val="left"/>
      <w:pPr>
        <w:tabs>
          <w:tab w:val="num" w:pos="5040"/>
        </w:tabs>
        <w:ind w:left="5040" w:hanging="360"/>
      </w:pPr>
      <w:rPr>
        <w:rFonts w:ascii="Arial" w:hAnsi="Arial" w:hint="default"/>
      </w:rPr>
    </w:lvl>
    <w:lvl w:ilvl="7" w:tplc="7730E55C" w:tentative="1">
      <w:start w:val="1"/>
      <w:numFmt w:val="bullet"/>
      <w:lvlText w:val="•"/>
      <w:lvlJc w:val="left"/>
      <w:pPr>
        <w:tabs>
          <w:tab w:val="num" w:pos="5760"/>
        </w:tabs>
        <w:ind w:left="5760" w:hanging="360"/>
      </w:pPr>
      <w:rPr>
        <w:rFonts w:ascii="Arial" w:hAnsi="Arial" w:hint="default"/>
      </w:rPr>
    </w:lvl>
    <w:lvl w:ilvl="8" w:tplc="7E32A4A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A17C04"/>
    <w:multiLevelType w:val="hybridMultilevel"/>
    <w:tmpl w:val="DBD627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9"/>
  </w:num>
  <w:num w:numId="2">
    <w:abstractNumId w:val="39"/>
    <w:lvlOverride w:ilvl="0">
      <w:startOverride w:val="1"/>
    </w:lvlOverride>
  </w:num>
  <w:num w:numId="3">
    <w:abstractNumId w:val="28"/>
  </w:num>
  <w:num w:numId="4">
    <w:abstractNumId w:val="36"/>
  </w:num>
  <w:num w:numId="5">
    <w:abstractNumId w:val="7"/>
  </w:num>
  <w:num w:numId="6">
    <w:abstractNumId w:val="12"/>
  </w:num>
  <w:num w:numId="7">
    <w:abstractNumId w:val="16"/>
  </w:num>
  <w:num w:numId="8">
    <w:abstractNumId w:val="41"/>
  </w:num>
  <w:num w:numId="9">
    <w:abstractNumId w:val="31"/>
  </w:num>
  <w:num w:numId="10">
    <w:abstractNumId w:val="8"/>
  </w:num>
  <w:num w:numId="11">
    <w:abstractNumId w:val="33"/>
  </w:num>
  <w:num w:numId="12">
    <w:abstractNumId w:val="42"/>
  </w:num>
  <w:num w:numId="13">
    <w:abstractNumId w:val="27"/>
  </w:num>
  <w:num w:numId="14">
    <w:abstractNumId w:val="15"/>
  </w:num>
  <w:num w:numId="15">
    <w:abstractNumId w:val="17"/>
  </w:num>
  <w:num w:numId="16">
    <w:abstractNumId w:val="40"/>
  </w:num>
  <w:num w:numId="17">
    <w:abstractNumId w:val="4"/>
  </w:num>
  <w:num w:numId="18">
    <w:abstractNumId w:val="35"/>
  </w:num>
  <w:num w:numId="19">
    <w:abstractNumId w:val="30"/>
  </w:num>
  <w:num w:numId="20">
    <w:abstractNumId w:val="14"/>
  </w:num>
  <w:num w:numId="21">
    <w:abstractNumId w:val="3"/>
  </w:num>
  <w:num w:numId="22">
    <w:abstractNumId w:val="6"/>
  </w:num>
  <w:num w:numId="23">
    <w:abstractNumId w:val="26"/>
  </w:num>
  <w:num w:numId="24">
    <w:abstractNumId w:val="9"/>
  </w:num>
  <w:num w:numId="25">
    <w:abstractNumId w:val="22"/>
  </w:num>
  <w:num w:numId="26">
    <w:abstractNumId w:val="19"/>
  </w:num>
  <w:num w:numId="27">
    <w:abstractNumId w:val="34"/>
  </w:num>
  <w:num w:numId="28">
    <w:abstractNumId w:val="11"/>
  </w:num>
  <w:num w:numId="29">
    <w:abstractNumId w:val="29"/>
  </w:num>
  <w:num w:numId="30">
    <w:abstractNumId w:val="2"/>
  </w:num>
  <w:num w:numId="31">
    <w:abstractNumId w:val="1"/>
  </w:num>
  <w:num w:numId="32">
    <w:abstractNumId w:val="0"/>
  </w:num>
  <w:num w:numId="33">
    <w:abstractNumId w:val="37"/>
  </w:num>
  <w:num w:numId="34">
    <w:abstractNumId w:val="21"/>
  </w:num>
  <w:num w:numId="35">
    <w:abstractNumId w:val="32"/>
  </w:num>
  <w:num w:numId="36">
    <w:abstractNumId w:val="13"/>
  </w:num>
  <w:num w:numId="37">
    <w:abstractNumId w:val="25"/>
  </w:num>
  <w:num w:numId="38">
    <w:abstractNumId w:val="5"/>
  </w:num>
  <w:num w:numId="39">
    <w:abstractNumId w:val="24"/>
  </w:num>
  <w:num w:numId="40">
    <w:abstractNumId w:val="23"/>
  </w:num>
  <w:num w:numId="41">
    <w:abstractNumId w:val="18"/>
  </w:num>
  <w:num w:numId="42">
    <w:abstractNumId w:val="10"/>
  </w:num>
  <w:num w:numId="43">
    <w:abstractNumId w:val="20"/>
  </w:num>
  <w:num w:numId="44">
    <w:abstractNumId w:val="3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C4"/>
    <w:rsid w:val="00000405"/>
    <w:rsid w:val="000006A4"/>
    <w:rsid w:val="00001A90"/>
    <w:rsid w:val="00001B92"/>
    <w:rsid w:val="0000248B"/>
    <w:rsid w:val="000024B3"/>
    <w:rsid w:val="00003409"/>
    <w:rsid w:val="00003926"/>
    <w:rsid w:val="00003EC4"/>
    <w:rsid w:val="000043DA"/>
    <w:rsid w:val="00004624"/>
    <w:rsid w:val="000046D4"/>
    <w:rsid w:val="00004D0B"/>
    <w:rsid w:val="00004F6C"/>
    <w:rsid w:val="00005854"/>
    <w:rsid w:val="00005C70"/>
    <w:rsid w:val="00005E7D"/>
    <w:rsid w:val="00005EB4"/>
    <w:rsid w:val="00010268"/>
    <w:rsid w:val="0001045C"/>
    <w:rsid w:val="000104CE"/>
    <w:rsid w:val="00011187"/>
    <w:rsid w:val="00012323"/>
    <w:rsid w:val="000128C9"/>
    <w:rsid w:val="000132D3"/>
    <w:rsid w:val="000136A6"/>
    <w:rsid w:val="00014CEF"/>
    <w:rsid w:val="00015C1C"/>
    <w:rsid w:val="00015C97"/>
    <w:rsid w:val="00015D65"/>
    <w:rsid w:val="00015F28"/>
    <w:rsid w:val="00015FE9"/>
    <w:rsid w:val="00017430"/>
    <w:rsid w:val="000178A4"/>
    <w:rsid w:val="0002008C"/>
    <w:rsid w:val="00020E27"/>
    <w:rsid w:val="00021756"/>
    <w:rsid w:val="00022110"/>
    <w:rsid w:val="000224C0"/>
    <w:rsid w:val="000228DB"/>
    <w:rsid w:val="000229B2"/>
    <w:rsid w:val="0002365F"/>
    <w:rsid w:val="000236CC"/>
    <w:rsid w:val="00024878"/>
    <w:rsid w:val="00025268"/>
    <w:rsid w:val="0002529B"/>
    <w:rsid w:val="0002556F"/>
    <w:rsid w:val="00025B51"/>
    <w:rsid w:val="00025C57"/>
    <w:rsid w:val="00026085"/>
    <w:rsid w:val="0002617F"/>
    <w:rsid w:val="000271F9"/>
    <w:rsid w:val="0003010E"/>
    <w:rsid w:val="00031D1A"/>
    <w:rsid w:val="000324E9"/>
    <w:rsid w:val="000327C6"/>
    <w:rsid w:val="00032AC5"/>
    <w:rsid w:val="00033039"/>
    <w:rsid w:val="00033957"/>
    <w:rsid w:val="00033CC6"/>
    <w:rsid w:val="0003432E"/>
    <w:rsid w:val="00034C63"/>
    <w:rsid w:val="00034CC7"/>
    <w:rsid w:val="00035BA7"/>
    <w:rsid w:val="0003603E"/>
    <w:rsid w:val="000375B4"/>
    <w:rsid w:val="00037EE5"/>
    <w:rsid w:val="000404BB"/>
    <w:rsid w:val="00040BC6"/>
    <w:rsid w:val="00040E9A"/>
    <w:rsid w:val="0004162F"/>
    <w:rsid w:val="000419CE"/>
    <w:rsid w:val="00043299"/>
    <w:rsid w:val="00044D6A"/>
    <w:rsid w:val="00045D10"/>
    <w:rsid w:val="00045F98"/>
    <w:rsid w:val="00047691"/>
    <w:rsid w:val="00047692"/>
    <w:rsid w:val="0005004A"/>
    <w:rsid w:val="000519A9"/>
    <w:rsid w:val="000521BA"/>
    <w:rsid w:val="00053027"/>
    <w:rsid w:val="00053614"/>
    <w:rsid w:val="000539B4"/>
    <w:rsid w:val="000539FC"/>
    <w:rsid w:val="00053E85"/>
    <w:rsid w:val="00053FC4"/>
    <w:rsid w:val="00054638"/>
    <w:rsid w:val="00054C2A"/>
    <w:rsid w:val="00054E9C"/>
    <w:rsid w:val="00055652"/>
    <w:rsid w:val="000559BB"/>
    <w:rsid w:val="00056532"/>
    <w:rsid w:val="00060008"/>
    <w:rsid w:val="0006011F"/>
    <w:rsid w:val="000601A2"/>
    <w:rsid w:val="000602B6"/>
    <w:rsid w:val="00060630"/>
    <w:rsid w:val="0006076A"/>
    <w:rsid w:val="00060F4A"/>
    <w:rsid w:val="00061824"/>
    <w:rsid w:val="000624B1"/>
    <w:rsid w:val="00064044"/>
    <w:rsid w:val="000641F8"/>
    <w:rsid w:val="00064B61"/>
    <w:rsid w:val="00064C14"/>
    <w:rsid w:val="00064CFC"/>
    <w:rsid w:val="00065184"/>
    <w:rsid w:val="0006557C"/>
    <w:rsid w:val="00065B77"/>
    <w:rsid w:val="00065B87"/>
    <w:rsid w:val="00065D49"/>
    <w:rsid w:val="00065E4C"/>
    <w:rsid w:val="00066217"/>
    <w:rsid w:val="000667E7"/>
    <w:rsid w:val="000673E7"/>
    <w:rsid w:val="00067AD4"/>
    <w:rsid w:val="00067C64"/>
    <w:rsid w:val="000708C9"/>
    <w:rsid w:val="000709F5"/>
    <w:rsid w:val="00070BB3"/>
    <w:rsid w:val="000710A7"/>
    <w:rsid w:val="0007112A"/>
    <w:rsid w:val="000727CC"/>
    <w:rsid w:val="000733B4"/>
    <w:rsid w:val="00073AE3"/>
    <w:rsid w:val="000743F5"/>
    <w:rsid w:val="00074441"/>
    <w:rsid w:val="000748CD"/>
    <w:rsid w:val="00074F70"/>
    <w:rsid w:val="00075481"/>
    <w:rsid w:val="0007575F"/>
    <w:rsid w:val="00075C21"/>
    <w:rsid w:val="00075DED"/>
    <w:rsid w:val="00075F09"/>
    <w:rsid w:val="000763E4"/>
    <w:rsid w:val="00076E10"/>
    <w:rsid w:val="00076F84"/>
    <w:rsid w:val="00077025"/>
    <w:rsid w:val="0007735C"/>
    <w:rsid w:val="00080495"/>
    <w:rsid w:val="00081441"/>
    <w:rsid w:val="0008244D"/>
    <w:rsid w:val="000827DD"/>
    <w:rsid w:val="00082862"/>
    <w:rsid w:val="00082FFF"/>
    <w:rsid w:val="000832FB"/>
    <w:rsid w:val="00083EA5"/>
    <w:rsid w:val="000842A5"/>
    <w:rsid w:val="00084EB6"/>
    <w:rsid w:val="000859A8"/>
    <w:rsid w:val="0008666F"/>
    <w:rsid w:val="0008697E"/>
    <w:rsid w:val="00086A94"/>
    <w:rsid w:val="00086F56"/>
    <w:rsid w:val="000871A1"/>
    <w:rsid w:val="00090337"/>
    <w:rsid w:val="0009045E"/>
    <w:rsid w:val="000904C6"/>
    <w:rsid w:val="00091229"/>
    <w:rsid w:val="000913FB"/>
    <w:rsid w:val="00091550"/>
    <w:rsid w:val="000922F5"/>
    <w:rsid w:val="00092DCE"/>
    <w:rsid w:val="00092F28"/>
    <w:rsid w:val="000930BB"/>
    <w:rsid w:val="000936DE"/>
    <w:rsid w:val="00093737"/>
    <w:rsid w:val="000938F0"/>
    <w:rsid w:val="00095E16"/>
    <w:rsid w:val="00095EDA"/>
    <w:rsid w:val="000962BF"/>
    <w:rsid w:val="00096DD4"/>
    <w:rsid w:val="0009750A"/>
    <w:rsid w:val="0009782B"/>
    <w:rsid w:val="000A09FB"/>
    <w:rsid w:val="000A1438"/>
    <w:rsid w:val="000A15C4"/>
    <w:rsid w:val="000A2D2E"/>
    <w:rsid w:val="000A2FB7"/>
    <w:rsid w:val="000A3548"/>
    <w:rsid w:val="000A475E"/>
    <w:rsid w:val="000A4980"/>
    <w:rsid w:val="000A50D2"/>
    <w:rsid w:val="000A5DFD"/>
    <w:rsid w:val="000A5E76"/>
    <w:rsid w:val="000A5F3B"/>
    <w:rsid w:val="000A6627"/>
    <w:rsid w:val="000A7610"/>
    <w:rsid w:val="000A7E29"/>
    <w:rsid w:val="000A7E8E"/>
    <w:rsid w:val="000B0B71"/>
    <w:rsid w:val="000B25A9"/>
    <w:rsid w:val="000B2A42"/>
    <w:rsid w:val="000B360A"/>
    <w:rsid w:val="000B4173"/>
    <w:rsid w:val="000B4665"/>
    <w:rsid w:val="000B4E31"/>
    <w:rsid w:val="000B5F03"/>
    <w:rsid w:val="000B61F3"/>
    <w:rsid w:val="000B67AC"/>
    <w:rsid w:val="000B6D97"/>
    <w:rsid w:val="000B7926"/>
    <w:rsid w:val="000C099E"/>
    <w:rsid w:val="000C3D39"/>
    <w:rsid w:val="000C46B3"/>
    <w:rsid w:val="000C4CFA"/>
    <w:rsid w:val="000C4DD9"/>
    <w:rsid w:val="000C4E9D"/>
    <w:rsid w:val="000C5BFF"/>
    <w:rsid w:val="000C6631"/>
    <w:rsid w:val="000C668F"/>
    <w:rsid w:val="000C672E"/>
    <w:rsid w:val="000C6997"/>
    <w:rsid w:val="000C6F87"/>
    <w:rsid w:val="000C7F98"/>
    <w:rsid w:val="000D0594"/>
    <w:rsid w:val="000D0A97"/>
    <w:rsid w:val="000D1058"/>
    <w:rsid w:val="000D11A6"/>
    <w:rsid w:val="000D14DF"/>
    <w:rsid w:val="000D200A"/>
    <w:rsid w:val="000D20C4"/>
    <w:rsid w:val="000D2445"/>
    <w:rsid w:val="000D24A1"/>
    <w:rsid w:val="000D27BE"/>
    <w:rsid w:val="000D2D55"/>
    <w:rsid w:val="000D378B"/>
    <w:rsid w:val="000D388C"/>
    <w:rsid w:val="000D38BE"/>
    <w:rsid w:val="000D3926"/>
    <w:rsid w:val="000D3AAB"/>
    <w:rsid w:val="000D3C01"/>
    <w:rsid w:val="000D52A2"/>
    <w:rsid w:val="000D72E4"/>
    <w:rsid w:val="000D7797"/>
    <w:rsid w:val="000E01F8"/>
    <w:rsid w:val="000E090C"/>
    <w:rsid w:val="000E09C9"/>
    <w:rsid w:val="000E0CB8"/>
    <w:rsid w:val="000E10EE"/>
    <w:rsid w:val="000E1F42"/>
    <w:rsid w:val="000E28F7"/>
    <w:rsid w:val="000E31FE"/>
    <w:rsid w:val="000E32FE"/>
    <w:rsid w:val="000E4C2A"/>
    <w:rsid w:val="000E5FA1"/>
    <w:rsid w:val="000E7061"/>
    <w:rsid w:val="000E735A"/>
    <w:rsid w:val="000E7670"/>
    <w:rsid w:val="000E7CA1"/>
    <w:rsid w:val="000F0457"/>
    <w:rsid w:val="000F0725"/>
    <w:rsid w:val="000F0A98"/>
    <w:rsid w:val="000F0F95"/>
    <w:rsid w:val="000F14CE"/>
    <w:rsid w:val="000F1EB0"/>
    <w:rsid w:val="000F2969"/>
    <w:rsid w:val="000F3AC6"/>
    <w:rsid w:val="000F3CB2"/>
    <w:rsid w:val="000F3FC0"/>
    <w:rsid w:val="000F4EAF"/>
    <w:rsid w:val="000F5613"/>
    <w:rsid w:val="000F5D08"/>
    <w:rsid w:val="000F5F6F"/>
    <w:rsid w:val="000F67FD"/>
    <w:rsid w:val="000F6B63"/>
    <w:rsid w:val="000F70AB"/>
    <w:rsid w:val="000F7522"/>
    <w:rsid w:val="000F76E4"/>
    <w:rsid w:val="000F7C92"/>
    <w:rsid w:val="00100890"/>
    <w:rsid w:val="00100B77"/>
    <w:rsid w:val="00101ADD"/>
    <w:rsid w:val="00101BFF"/>
    <w:rsid w:val="00102566"/>
    <w:rsid w:val="00102EE7"/>
    <w:rsid w:val="00102EF9"/>
    <w:rsid w:val="00103DC0"/>
    <w:rsid w:val="00103EB0"/>
    <w:rsid w:val="00104037"/>
    <w:rsid w:val="001045BD"/>
    <w:rsid w:val="00105BA4"/>
    <w:rsid w:val="001061B2"/>
    <w:rsid w:val="0010719B"/>
    <w:rsid w:val="00110298"/>
    <w:rsid w:val="00110B44"/>
    <w:rsid w:val="00110F38"/>
    <w:rsid w:val="001117ED"/>
    <w:rsid w:val="0011192D"/>
    <w:rsid w:val="00111A97"/>
    <w:rsid w:val="00111DA1"/>
    <w:rsid w:val="00111E09"/>
    <w:rsid w:val="00111E29"/>
    <w:rsid w:val="00111EC9"/>
    <w:rsid w:val="00111F6E"/>
    <w:rsid w:val="001124FD"/>
    <w:rsid w:val="001129B3"/>
    <w:rsid w:val="0011314A"/>
    <w:rsid w:val="00113E27"/>
    <w:rsid w:val="00114AFD"/>
    <w:rsid w:val="0011551E"/>
    <w:rsid w:val="00115B97"/>
    <w:rsid w:val="00116464"/>
    <w:rsid w:val="0011672A"/>
    <w:rsid w:val="001172B6"/>
    <w:rsid w:val="00117AC9"/>
    <w:rsid w:val="0012168F"/>
    <w:rsid w:val="001216D1"/>
    <w:rsid w:val="00121A13"/>
    <w:rsid w:val="00121B19"/>
    <w:rsid w:val="00121D0A"/>
    <w:rsid w:val="00123673"/>
    <w:rsid w:val="00123C0B"/>
    <w:rsid w:val="00124921"/>
    <w:rsid w:val="0012552E"/>
    <w:rsid w:val="00125B06"/>
    <w:rsid w:val="0013049F"/>
    <w:rsid w:val="001308B3"/>
    <w:rsid w:val="00130AF9"/>
    <w:rsid w:val="00131572"/>
    <w:rsid w:val="001319B8"/>
    <w:rsid w:val="00132C9A"/>
    <w:rsid w:val="00132E0F"/>
    <w:rsid w:val="00132EBF"/>
    <w:rsid w:val="001331D1"/>
    <w:rsid w:val="00133654"/>
    <w:rsid w:val="0013398F"/>
    <w:rsid w:val="00133D24"/>
    <w:rsid w:val="001343F8"/>
    <w:rsid w:val="00134749"/>
    <w:rsid w:val="00134816"/>
    <w:rsid w:val="001360C8"/>
    <w:rsid w:val="001361BB"/>
    <w:rsid w:val="001363E3"/>
    <w:rsid w:val="001368B4"/>
    <w:rsid w:val="00136B4C"/>
    <w:rsid w:val="001370BF"/>
    <w:rsid w:val="00137192"/>
    <w:rsid w:val="00140A98"/>
    <w:rsid w:val="00141369"/>
    <w:rsid w:val="00141AA4"/>
    <w:rsid w:val="00141C4F"/>
    <w:rsid w:val="00143BDD"/>
    <w:rsid w:val="00143E53"/>
    <w:rsid w:val="00144163"/>
    <w:rsid w:val="001442D8"/>
    <w:rsid w:val="00144D26"/>
    <w:rsid w:val="0014520F"/>
    <w:rsid w:val="00145615"/>
    <w:rsid w:val="00145B57"/>
    <w:rsid w:val="00145E21"/>
    <w:rsid w:val="0014703A"/>
    <w:rsid w:val="00147E08"/>
    <w:rsid w:val="00150866"/>
    <w:rsid w:val="00151701"/>
    <w:rsid w:val="00151717"/>
    <w:rsid w:val="001517B1"/>
    <w:rsid w:val="001518B4"/>
    <w:rsid w:val="00151DEE"/>
    <w:rsid w:val="0015228E"/>
    <w:rsid w:val="0015246B"/>
    <w:rsid w:val="0015246D"/>
    <w:rsid w:val="001524BC"/>
    <w:rsid w:val="001525F6"/>
    <w:rsid w:val="0015305D"/>
    <w:rsid w:val="00153FA8"/>
    <w:rsid w:val="00154B0C"/>
    <w:rsid w:val="00154CD7"/>
    <w:rsid w:val="00155561"/>
    <w:rsid w:val="00155862"/>
    <w:rsid w:val="0015658C"/>
    <w:rsid w:val="00157312"/>
    <w:rsid w:val="00157372"/>
    <w:rsid w:val="0015739F"/>
    <w:rsid w:val="001609EF"/>
    <w:rsid w:val="00161578"/>
    <w:rsid w:val="001617EF"/>
    <w:rsid w:val="001628C7"/>
    <w:rsid w:val="00162903"/>
    <w:rsid w:val="001635FD"/>
    <w:rsid w:val="00163D3F"/>
    <w:rsid w:val="00163EE6"/>
    <w:rsid w:val="00164782"/>
    <w:rsid w:val="001647F2"/>
    <w:rsid w:val="00165ECF"/>
    <w:rsid w:val="00166C1D"/>
    <w:rsid w:val="0016754A"/>
    <w:rsid w:val="00167633"/>
    <w:rsid w:val="001701B2"/>
    <w:rsid w:val="00170368"/>
    <w:rsid w:val="001717C9"/>
    <w:rsid w:val="00172543"/>
    <w:rsid w:val="00172D58"/>
    <w:rsid w:val="001730AD"/>
    <w:rsid w:val="001733BA"/>
    <w:rsid w:val="0017362C"/>
    <w:rsid w:val="0017366C"/>
    <w:rsid w:val="00173C32"/>
    <w:rsid w:val="00174A0D"/>
    <w:rsid w:val="00175C2A"/>
    <w:rsid w:val="00175F1C"/>
    <w:rsid w:val="001767EF"/>
    <w:rsid w:val="001767F3"/>
    <w:rsid w:val="001769B2"/>
    <w:rsid w:val="001779C6"/>
    <w:rsid w:val="00177AE7"/>
    <w:rsid w:val="001815EE"/>
    <w:rsid w:val="001818B8"/>
    <w:rsid w:val="00183BEE"/>
    <w:rsid w:val="00183E1A"/>
    <w:rsid w:val="00183F18"/>
    <w:rsid w:val="001841DD"/>
    <w:rsid w:val="0018442E"/>
    <w:rsid w:val="001848BA"/>
    <w:rsid w:val="00184900"/>
    <w:rsid w:val="001854D1"/>
    <w:rsid w:val="00185F6D"/>
    <w:rsid w:val="001869BD"/>
    <w:rsid w:val="001877C9"/>
    <w:rsid w:val="0019018D"/>
    <w:rsid w:val="001908AF"/>
    <w:rsid w:val="00190FB6"/>
    <w:rsid w:val="00191194"/>
    <w:rsid w:val="00191303"/>
    <w:rsid w:val="00192232"/>
    <w:rsid w:val="001922F4"/>
    <w:rsid w:val="00192529"/>
    <w:rsid w:val="0019257E"/>
    <w:rsid w:val="00192ED5"/>
    <w:rsid w:val="00193061"/>
    <w:rsid w:val="00193B79"/>
    <w:rsid w:val="00193E15"/>
    <w:rsid w:val="00194334"/>
    <w:rsid w:val="0019543F"/>
    <w:rsid w:val="00195A06"/>
    <w:rsid w:val="00195CEC"/>
    <w:rsid w:val="00196599"/>
    <w:rsid w:val="00196C57"/>
    <w:rsid w:val="001974D5"/>
    <w:rsid w:val="001A001A"/>
    <w:rsid w:val="001A063A"/>
    <w:rsid w:val="001A0A5A"/>
    <w:rsid w:val="001A0E36"/>
    <w:rsid w:val="001A0E37"/>
    <w:rsid w:val="001A338E"/>
    <w:rsid w:val="001A3574"/>
    <w:rsid w:val="001A381B"/>
    <w:rsid w:val="001A3AA9"/>
    <w:rsid w:val="001A4498"/>
    <w:rsid w:val="001A589C"/>
    <w:rsid w:val="001A593C"/>
    <w:rsid w:val="001A630E"/>
    <w:rsid w:val="001A6794"/>
    <w:rsid w:val="001A68FF"/>
    <w:rsid w:val="001A6D4D"/>
    <w:rsid w:val="001A75B3"/>
    <w:rsid w:val="001A7879"/>
    <w:rsid w:val="001A7DAD"/>
    <w:rsid w:val="001B16CF"/>
    <w:rsid w:val="001B1999"/>
    <w:rsid w:val="001B1E85"/>
    <w:rsid w:val="001B2A74"/>
    <w:rsid w:val="001B37EC"/>
    <w:rsid w:val="001B3B62"/>
    <w:rsid w:val="001B451C"/>
    <w:rsid w:val="001B4559"/>
    <w:rsid w:val="001B45B6"/>
    <w:rsid w:val="001B48DE"/>
    <w:rsid w:val="001B56CA"/>
    <w:rsid w:val="001B5CC4"/>
    <w:rsid w:val="001B5FE5"/>
    <w:rsid w:val="001B65EC"/>
    <w:rsid w:val="001B6D9C"/>
    <w:rsid w:val="001B704A"/>
    <w:rsid w:val="001B7332"/>
    <w:rsid w:val="001B7F2B"/>
    <w:rsid w:val="001C03A1"/>
    <w:rsid w:val="001C0F64"/>
    <w:rsid w:val="001C1590"/>
    <w:rsid w:val="001C19A7"/>
    <w:rsid w:val="001C349D"/>
    <w:rsid w:val="001C3C59"/>
    <w:rsid w:val="001C440F"/>
    <w:rsid w:val="001C4785"/>
    <w:rsid w:val="001C536F"/>
    <w:rsid w:val="001C562C"/>
    <w:rsid w:val="001C5DED"/>
    <w:rsid w:val="001C6072"/>
    <w:rsid w:val="001C6137"/>
    <w:rsid w:val="001C7E8F"/>
    <w:rsid w:val="001D0843"/>
    <w:rsid w:val="001D0A92"/>
    <w:rsid w:val="001D0F21"/>
    <w:rsid w:val="001D2BF3"/>
    <w:rsid w:val="001D2D68"/>
    <w:rsid w:val="001D3BC6"/>
    <w:rsid w:val="001D4787"/>
    <w:rsid w:val="001D518E"/>
    <w:rsid w:val="001D5443"/>
    <w:rsid w:val="001D5BAC"/>
    <w:rsid w:val="001D62DE"/>
    <w:rsid w:val="001D66C5"/>
    <w:rsid w:val="001D6850"/>
    <w:rsid w:val="001D69F8"/>
    <w:rsid w:val="001D75DF"/>
    <w:rsid w:val="001D7DB3"/>
    <w:rsid w:val="001E0F85"/>
    <w:rsid w:val="001E1502"/>
    <w:rsid w:val="001E1F07"/>
    <w:rsid w:val="001E2188"/>
    <w:rsid w:val="001E3CA5"/>
    <w:rsid w:val="001E47F8"/>
    <w:rsid w:val="001E4BE4"/>
    <w:rsid w:val="001E4ED5"/>
    <w:rsid w:val="001E54C9"/>
    <w:rsid w:val="001E5B7F"/>
    <w:rsid w:val="001E69E7"/>
    <w:rsid w:val="001E6D0A"/>
    <w:rsid w:val="001E6EAF"/>
    <w:rsid w:val="001E7054"/>
    <w:rsid w:val="001E78B7"/>
    <w:rsid w:val="001F0151"/>
    <w:rsid w:val="001F1195"/>
    <w:rsid w:val="001F1374"/>
    <w:rsid w:val="001F13A1"/>
    <w:rsid w:val="001F1464"/>
    <w:rsid w:val="001F29B9"/>
    <w:rsid w:val="001F2FBE"/>
    <w:rsid w:val="001F3911"/>
    <w:rsid w:val="001F39BF"/>
    <w:rsid w:val="001F41D3"/>
    <w:rsid w:val="001F4FC2"/>
    <w:rsid w:val="001F60FB"/>
    <w:rsid w:val="001F66D8"/>
    <w:rsid w:val="001F67C3"/>
    <w:rsid w:val="001F68D7"/>
    <w:rsid w:val="001F6AE6"/>
    <w:rsid w:val="002025C1"/>
    <w:rsid w:val="002030C0"/>
    <w:rsid w:val="00203209"/>
    <w:rsid w:val="00203CDE"/>
    <w:rsid w:val="00203E11"/>
    <w:rsid w:val="002044EA"/>
    <w:rsid w:val="00204515"/>
    <w:rsid w:val="00204922"/>
    <w:rsid w:val="0020547E"/>
    <w:rsid w:val="00206047"/>
    <w:rsid w:val="002067D3"/>
    <w:rsid w:val="002067ED"/>
    <w:rsid w:val="00207EA2"/>
    <w:rsid w:val="00210236"/>
    <w:rsid w:val="00210AA3"/>
    <w:rsid w:val="00210D14"/>
    <w:rsid w:val="002114D9"/>
    <w:rsid w:val="00211858"/>
    <w:rsid w:val="00211BC4"/>
    <w:rsid w:val="002120C4"/>
    <w:rsid w:val="00212941"/>
    <w:rsid w:val="00213017"/>
    <w:rsid w:val="00213E74"/>
    <w:rsid w:val="00214100"/>
    <w:rsid w:val="002156BB"/>
    <w:rsid w:val="00215E8D"/>
    <w:rsid w:val="00216348"/>
    <w:rsid w:val="002165D3"/>
    <w:rsid w:val="00216C57"/>
    <w:rsid w:val="00216F51"/>
    <w:rsid w:val="00217966"/>
    <w:rsid w:val="00217EB7"/>
    <w:rsid w:val="00217F12"/>
    <w:rsid w:val="002206D2"/>
    <w:rsid w:val="00220959"/>
    <w:rsid w:val="00220F95"/>
    <w:rsid w:val="0022107C"/>
    <w:rsid w:val="0022112C"/>
    <w:rsid w:val="00221263"/>
    <w:rsid w:val="00222220"/>
    <w:rsid w:val="00222471"/>
    <w:rsid w:val="002230DE"/>
    <w:rsid w:val="00223624"/>
    <w:rsid w:val="00224246"/>
    <w:rsid w:val="0022466B"/>
    <w:rsid w:val="002246E7"/>
    <w:rsid w:val="002249F5"/>
    <w:rsid w:val="00224DC4"/>
    <w:rsid w:val="002253F7"/>
    <w:rsid w:val="00226EDF"/>
    <w:rsid w:val="00227128"/>
    <w:rsid w:val="00227CEA"/>
    <w:rsid w:val="00230342"/>
    <w:rsid w:val="00230CC9"/>
    <w:rsid w:val="0023107B"/>
    <w:rsid w:val="0023115B"/>
    <w:rsid w:val="0023170D"/>
    <w:rsid w:val="002317F7"/>
    <w:rsid w:val="0023221A"/>
    <w:rsid w:val="002323F8"/>
    <w:rsid w:val="00232C3B"/>
    <w:rsid w:val="00233D01"/>
    <w:rsid w:val="00233D3B"/>
    <w:rsid w:val="002341C3"/>
    <w:rsid w:val="00234270"/>
    <w:rsid w:val="0023628B"/>
    <w:rsid w:val="002368BF"/>
    <w:rsid w:val="00236AAF"/>
    <w:rsid w:val="00237A12"/>
    <w:rsid w:val="00240659"/>
    <w:rsid w:val="002408F4"/>
    <w:rsid w:val="00240A43"/>
    <w:rsid w:val="00241BE7"/>
    <w:rsid w:val="00241ED6"/>
    <w:rsid w:val="0024214B"/>
    <w:rsid w:val="0024275C"/>
    <w:rsid w:val="00243114"/>
    <w:rsid w:val="00243817"/>
    <w:rsid w:val="002441B7"/>
    <w:rsid w:val="002449E5"/>
    <w:rsid w:val="00245761"/>
    <w:rsid w:val="00245EB2"/>
    <w:rsid w:val="00246793"/>
    <w:rsid w:val="00247263"/>
    <w:rsid w:val="00247BB8"/>
    <w:rsid w:val="00250440"/>
    <w:rsid w:val="00250C5F"/>
    <w:rsid w:val="0025150F"/>
    <w:rsid w:val="0025151E"/>
    <w:rsid w:val="002515F9"/>
    <w:rsid w:val="002517B5"/>
    <w:rsid w:val="002517DA"/>
    <w:rsid w:val="00251EA4"/>
    <w:rsid w:val="00252494"/>
    <w:rsid w:val="00253247"/>
    <w:rsid w:val="002538B0"/>
    <w:rsid w:val="00255327"/>
    <w:rsid w:val="00255A41"/>
    <w:rsid w:val="00256659"/>
    <w:rsid w:val="002568EC"/>
    <w:rsid w:val="0025709F"/>
    <w:rsid w:val="0026019C"/>
    <w:rsid w:val="0026050C"/>
    <w:rsid w:val="00260568"/>
    <w:rsid w:val="00260983"/>
    <w:rsid w:val="00260FFE"/>
    <w:rsid w:val="0026159A"/>
    <w:rsid w:val="002617BD"/>
    <w:rsid w:val="00261AF1"/>
    <w:rsid w:val="00261FE3"/>
    <w:rsid w:val="00262435"/>
    <w:rsid w:val="00263B42"/>
    <w:rsid w:val="00263D5B"/>
    <w:rsid w:val="00263DF7"/>
    <w:rsid w:val="002642C8"/>
    <w:rsid w:val="00264C18"/>
    <w:rsid w:val="002654C1"/>
    <w:rsid w:val="00265D7A"/>
    <w:rsid w:val="00266DCF"/>
    <w:rsid w:val="00270159"/>
    <w:rsid w:val="0027026D"/>
    <w:rsid w:val="00270C33"/>
    <w:rsid w:val="0027167D"/>
    <w:rsid w:val="0027252F"/>
    <w:rsid w:val="00272736"/>
    <w:rsid w:val="00273400"/>
    <w:rsid w:val="00273667"/>
    <w:rsid w:val="00274B5B"/>
    <w:rsid w:val="00274C14"/>
    <w:rsid w:val="002758B3"/>
    <w:rsid w:val="0027637E"/>
    <w:rsid w:val="0027643C"/>
    <w:rsid w:val="00276D78"/>
    <w:rsid w:val="00280EBC"/>
    <w:rsid w:val="0028131A"/>
    <w:rsid w:val="0028148F"/>
    <w:rsid w:val="0028162A"/>
    <w:rsid w:val="00283822"/>
    <w:rsid w:val="00283BA7"/>
    <w:rsid w:val="00283D85"/>
    <w:rsid w:val="00284D40"/>
    <w:rsid w:val="0028542E"/>
    <w:rsid w:val="002858A1"/>
    <w:rsid w:val="00285BC8"/>
    <w:rsid w:val="00285EF5"/>
    <w:rsid w:val="002861E9"/>
    <w:rsid w:val="00286426"/>
    <w:rsid w:val="00286CFE"/>
    <w:rsid w:val="002872CA"/>
    <w:rsid w:val="0029012D"/>
    <w:rsid w:val="0029042A"/>
    <w:rsid w:val="00291735"/>
    <w:rsid w:val="002923D5"/>
    <w:rsid w:val="00292409"/>
    <w:rsid w:val="0029294B"/>
    <w:rsid w:val="00292F91"/>
    <w:rsid w:val="002937F7"/>
    <w:rsid w:val="00293DFA"/>
    <w:rsid w:val="0029432E"/>
    <w:rsid w:val="002945EA"/>
    <w:rsid w:val="002946AB"/>
    <w:rsid w:val="00294741"/>
    <w:rsid w:val="00294D4D"/>
    <w:rsid w:val="00294DF2"/>
    <w:rsid w:val="0029534B"/>
    <w:rsid w:val="00295692"/>
    <w:rsid w:val="0029582C"/>
    <w:rsid w:val="00295C0F"/>
    <w:rsid w:val="00295E5E"/>
    <w:rsid w:val="0029649E"/>
    <w:rsid w:val="00296C8F"/>
    <w:rsid w:val="0029749F"/>
    <w:rsid w:val="002A0E6F"/>
    <w:rsid w:val="002A118B"/>
    <w:rsid w:val="002A183D"/>
    <w:rsid w:val="002A1D19"/>
    <w:rsid w:val="002A275F"/>
    <w:rsid w:val="002A2886"/>
    <w:rsid w:val="002A2902"/>
    <w:rsid w:val="002A37D5"/>
    <w:rsid w:val="002A465D"/>
    <w:rsid w:val="002A4FCF"/>
    <w:rsid w:val="002A54A0"/>
    <w:rsid w:val="002A563D"/>
    <w:rsid w:val="002A5832"/>
    <w:rsid w:val="002A5A97"/>
    <w:rsid w:val="002A61C4"/>
    <w:rsid w:val="002A76F9"/>
    <w:rsid w:val="002A78CB"/>
    <w:rsid w:val="002A799D"/>
    <w:rsid w:val="002B00A2"/>
    <w:rsid w:val="002B09A7"/>
    <w:rsid w:val="002B12B7"/>
    <w:rsid w:val="002B1355"/>
    <w:rsid w:val="002B2FF1"/>
    <w:rsid w:val="002B3722"/>
    <w:rsid w:val="002B3A14"/>
    <w:rsid w:val="002B3EDC"/>
    <w:rsid w:val="002B50D5"/>
    <w:rsid w:val="002B53F5"/>
    <w:rsid w:val="002B579C"/>
    <w:rsid w:val="002B5B5B"/>
    <w:rsid w:val="002B5D42"/>
    <w:rsid w:val="002B5DCD"/>
    <w:rsid w:val="002B6E40"/>
    <w:rsid w:val="002B7692"/>
    <w:rsid w:val="002B771B"/>
    <w:rsid w:val="002B77F8"/>
    <w:rsid w:val="002C059F"/>
    <w:rsid w:val="002C0698"/>
    <w:rsid w:val="002C0ACF"/>
    <w:rsid w:val="002C182C"/>
    <w:rsid w:val="002C241C"/>
    <w:rsid w:val="002C2776"/>
    <w:rsid w:val="002C2B5C"/>
    <w:rsid w:val="002C32BE"/>
    <w:rsid w:val="002C57AE"/>
    <w:rsid w:val="002C62AE"/>
    <w:rsid w:val="002C654F"/>
    <w:rsid w:val="002C6973"/>
    <w:rsid w:val="002C69A3"/>
    <w:rsid w:val="002C7A16"/>
    <w:rsid w:val="002D1AA7"/>
    <w:rsid w:val="002D1E39"/>
    <w:rsid w:val="002D1FDA"/>
    <w:rsid w:val="002D2071"/>
    <w:rsid w:val="002D2109"/>
    <w:rsid w:val="002D2201"/>
    <w:rsid w:val="002D242C"/>
    <w:rsid w:val="002D25BA"/>
    <w:rsid w:val="002D2887"/>
    <w:rsid w:val="002D2980"/>
    <w:rsid w:val="002D38A3"/>
    <w:rsid w:val="002D3988"/>
    <w:rsid w:val="002D3E9E"/>
    <w:rsid w:val="002D48EE"/>
    <w:rsid w:val="002D4FEB"/>
    <w:rsid w:val="002D5A37"/>
    <w:rsid w:val="002D6849"/>
    <w:rsid w:val="002D7644"/>
    <w:rsid w:val="002D7FAF"/>
    <w:rsid w:val="002E0267"/>
    <w:rsid w:val="002E0ACC"/>
    <w:rsid w:val="002E15D6"/>
    <w:rsid w:val="002E1AA3"/>
    <w:rsid w:val="002E22E8"/>
    <w:rsid w:val="002E304A"/>
    <w:rsid w:val="002E305A"/>
    <w:rsid w:val="002E35A9"/>
    <w:rsid w:val="002E4138"/>
    <w:rsid w:val="002E4447"/>
    <w:rsid w:val="002E4635"/>
    <w:rsid w:val="002E4824"/>
    <w:rsid w:val="002E4CAF"/>
    <w:rsid w:val="002E5AC9"/>
    <w:rsid w:val="002E5BB3"/>
    <w:rsid w:val="002E7367"/>
    <w:rsid w:val="002E75A0"/>
    <w:rsid w:val="002F06AB"/>
    <w:rsid w:val="002F06C4"/>
    <w:rsid w:val="002F18DB"/>
    <w:rsid w:val="002F26F5"/>
    <w:rsid w:val="002F2AAA"/>
    <w:rsid w:val="002F2ADB"/>
    <w:rsid w:val="002F3735"/>
    <w:rsid w:val="002F3D2F"/>
    <w:rsid w:val="002F4A8F"/>
    <w:rsid w:val="002F4CA0"/>
    <w:rsid w:val="002F4EAF"/>
    <w:rsid w:val="002F4ED0"/>
    <w:rsid w:val="002F5E74"/>
    <w:rsid w:val="00300A67"/>
    <w:rsid w:val="00301437"/>
    <w:rsid w:val="00301D85"/>
    <w:rsid w:val="00303E84"/>
    <w:rsid w:val="00304DD6"/>
    <w:rsid w:val="00304F6B"/>
    <w:rsid w:val="00305736"/>
    <w:rsid w:val="00305DC2"/>
    <w:rsid w:val="00306C94"/>
    <w:rsid w:val="00307232"/>
    <w:rsid w:val="00307EB0"/>
    <w:rsid w:val="00307FF6"/>
    <w:rsid w:val="003104A9"/>
    <w:rsid w:val="003104DE"/>
    <w:rsid w:val="003105FA"/>
    <w:rsid w:val="00310D63"/>
    <w:rsid w:val="00310FDE"/>
    <w:rsid w:val="00311271"/>
    <w:rsid w:val="00311B85"/>
    <w:rsid w:val="00311E65"/>
    <w:rsid w:val="00312ACE"/>
    <w:rsid w:val="00312E43"/>
    <w:rsid w:val="00312EE6"/>
    <w:rsid w:val="00313345"/>
    <w:rsid w:val="003133FC"/>
    <w:rsid w:val="003136CC"/>
    <w:rsid w:val="0031527E"/>
    <w:rsid w:val="00315925"/>
    <w:rsid w:val="003159B5"/>
    <w:rsid w:val="00316132"/>
    <w:rsid w:val="00316321"/>
    <w:rsid w:val="00316545"/>
    <w:rsid w:val="00316DE3"/>
    <w:rsid w:val="003172A5"/>
    <w:rsid w:val="003176BA"/>
    <w:rsid w:val="00317F2D"/>
    <w:rsid w:val="0032062E"/>
    <w:rsid w:val="00320B0B"/>
    <w:rsid w:val="00322B15"/>
    <w:rsid w:val="00322B48"/>
    <w:rsid w:val="00323C65"/>
    <w:rsid w:val="0032406B"/>
    <w:rsid w:val="00324084"/>
    <w:rsid w:val="0032449C"/>
    <w:rsid w:val="003248AC"/>
    <w:rsid w:val="00324EC2"/>
    <w:rsid w:val="00324FE5"/>
    <w:rsid w:val="00325576"/>
    <w:rsid w:val="003255B4"/>
    <w:rsid w:val="00325870"/>
    <w:rsid w:val="00326770"/>
    <w:rsid w:val="00326B59"/>
    <w:rsid w:val="0032726E"/>
    <w:rsid w:val="0032748D"/>
    <w:rsid w:val="003278AB"/>
    <w:rsid w:val="0033097A"/>
    <w:rsid w:val="00330B8B"/>
    <w:rsid w:val="00331233"/>
    <w:rsid w:val="00331BFC"/>
    <w:rsid w:val="00331F9D"/>
    <w:rsid w:val="00334A0C"/>
    <w:rsid w:val="003350C9"/>
    <w:rsid w:val="0033577B"/>
    <w:rsid w:val="00335B70"/>
    <w:rsid w:val="00335FEF"/>
    <w:rsid w:val="0033616F"/>
    <w:rsid w:val="003368C8"/>
    <w:rsid w:val="00337DA0"/>
    <w:rsid w:val="00337E5F"/>
    <w:rsid w:val="0034078F"/>
    <w:rsid w:val="00341953"/>
    <w:rsid w:val="00341CF6"/>
    <w:rsid w:val="00342602"/>
    <w:rsid w:val="0034293A"/>
    <w:rsid w:val="00342C3D"/>
    <w:rsid w:val="003434C5"/>
    <w:rsid w:val="00344896"/>
    <w:rsid w:val="00345324"/>
    <w:rsid w:val="00345ADA"/>
    <w:rsid w:val="00345E78"/>
    <w:rsid w:val="0034629C"/>
    <w:rsid w:val="00347A72"/>
    <w:rsid w:val="00347C00"/>
    <w:rsid w:val="00347C39"/>
    <w:rsid w:val="00347FF4"/>
    <w:rsid w:val="00350502"/>
    <w:rsid w:val="00350E03"/>
    <w:rsid w:val="003516FC"/>
    <w:rsid w:val="00352127"/>
    <w:rsid w:val="0035231E"/>
    <w:rsid w:val="003531F2"/>
    <w:rsid w:val="00354456"/>
    <w:rsid w:val="003548B8"/>
    <w:rsid w:val="00354C33"/>
    <w:rsid w:val="00354E7A"/>
    <w:rsid w:val="003566BD"/>
    <w:rsid w:val="00356E79"/>
    <w:rsid w:val="00357027"/>
    <w:rsid w:val="00357101"/>
    <w:rsid w:val="00357F95"/>
    <w:rsid w:val="0036000C"/>
    <w:rsid w:val="0036069B"/>
    <w:rsid w:val="00361781"/>
    <w:rsid w:val="00361878"/>
    <w:rsid w:val="00362223"/>
    <w:rsid w:val="003629F5"/>
    <w:rsid w:val="00362AC9"/>
    <w:rsid w:val="00363244"/>
    <w:rsid w:val="00363586"/>
    <w:rsid w:val="00363B93"/>
    <w:rsid w:val="00363D11"/>
    <w:rsid w:val="00364B20"/>
    <w:rsid w:val="0036574F"/>
    <w:rsid w:val="0036585A"/>
    <w:rsid w:val="00365D8E"/>
    <w:rsid w:val="00365F52"/>
    <w:rsid w:val="003663F2"/>
    <w:rsid w:val="00366571"/>
    <w:rsid w:val="00366DB9"/>
    <w:rsid w:val="0036782E"/>
    <w:rsid w:val="00367876"/>
    <w:rsid w:val="00367A6C"/>
    <w:rsid w:val="00367C33"/>
    <w:rsid w:val="003703B3"/>
    <w:rsid w:val="0037056E"/>
    <w:rsid w:val="00370712"/>
    <w:rsid w:val="00370F74"/>
    <w:rsid w:val="00371372"/>
    <w:rsid w:val="003719FC"/>
    <w:rsid w:val="00371ACB"/>
    <w:rsid w:val="00371E40"/>
    <w:rsid w:val="00371E49"/>
    <w:rsid w:val="00371F99"/>
    <w:rsid w:val="003733CF"/>
    <w:rsid w:val="00373645"/>
    <w:rsid w:val="003737E1"/>
    <w:rsid w:val="0037463A"/>
    <w:rsid w:val="00374A53"/>
    <w:rsid w:val="00374BFD"/>
    <w:rsid w:val="00374E07"/>
    <w:rsid w:val="00375821"/>
    <w:rsid w:val="003759A2"/>
    <w:rsid w:val="00375A23"/>
    <w:rsid w:val="00375AC0"/>
    <w:rsid w:val="00376245"/>
    <w:rsid w:val="003768C7"/>
    <w:rsid w:val="003772D3"/>
    <w:rsid w:val="00380172"/>
    <w:rsid w:val="00380470"/>
    <w:rsid w:val="00380563"/>
    <w:rsid w:val="00380A09"/>
    <w:rsid w:val="00380D4B"/>
    <w:rsid w:val="00381209"/>
    <w:rsid w:val="00381889"/>
    <w:rsid w:val="003820D2"/>
    <w:rsid w:val="00382980"/>
    <w:rsid w:val="00383094"/>
    <w:rsid w:val="00383EF2"/>
    <w:rsid w:val="00384017"/>
    <w:rsid w:val="0038410B"/>
    <w:rsid w:val="00385461"/>
    <w:rsid w:val="003869D5"/>
    <w:rsid w:val="003869F3"/>
    <w:rsid w:val="00386B13"/>
    <w:rsid w:val="00386EE9"/>
    <w:rsid w:val="003871E7"/>
    <w:rsid w:val="00387F79"/>
    <w:rsid w:val="00390092"/>
    <w:rsid w:val="00390433"/>
    <w:rsid w:val="00390553"/>
    <w:rsid w:val="00390A00"/>
    <w:rsid w:val="003912A9"/>
    <w:rsid w:val="0039198D"/>
    <w:rsid w:val="00392098"/>
    <w:rsid w:val="0039253A"/>
    <w:rsid w:val="00392D1E"/>
    <w:rsid w:val="00392FCA"/>
    <w:rsid w:val="0039435C"/>
    <w:rsid w:val="00394B93"/>
    <w:rsid w:val="00394EFB"/>
    <w:rsid w:val="00394FAC"/>
    <w:rsid w:val="00395100"/>
    <w:rsid w:val="00395D91"/>
    <w:rsid w:val="003977AE"/>
    <w:rsid w:val="00397955"/>
    <w:rsid w:val="003A12D8"/>
    <w:rsid w:val="003A1C13"/>
    <w:rsid w:val="003A1C41"/>
    <w:rsid w:val="003A1DFA"/>
    <w:rsid w:val="003A1E70"/>
    <w:rsid w:val="003A3523"/>
    <w:rsid w:val="003A35AA"/>
    <w:rsid w:val="003A4777"/>
    <w:rsid w:val="003A5904"/>
    <w:rsid w:val="003A5CBD"/>
    <w:rsid w:val="003A5DC2"/>
    <w:rsid w:val="003A683A"/>
    <w:rsid w:val="003A6DC3"/>
    <w:rsid w:val="003A7944"/>
    <w:rsid w:val="003B0182"/>
    <w:rsid w:val="003B0A27"/>
    <w:rsid w:val="003B1EAA"/>
    <w:rsid w:val="003B1EFE"/>
    <w:rsid w:val="003B21DC"/>
    <w:rsid w:val="003B223B"/>
    <w:rsid w:val="003B23AB"/>
    <w:rsid w:val="003B2663"/>
    <w:rsid w:val="003B2DBB"/>
    <w:rsid w:val="003B380F"/>
    <w:rsid w:val="003B392B"/>
    <w:rsid w:val="003B4559"/>
    <w:rsid w:val="003B4B9F"/>
    <w:rsid w:val="003B51BF"/>
    <w:rsid w:val="003B66CC"/>
    <w:rsid w:val="003B7701"/>
    <w:rsid w:val="003C04EE"/>
    <w:rsid w:val="003C0F91"/>
    <w:rsid w:val="003C1040"/>
    <w:rsid w:val="003C109C"/>
    <w:rsid w:val="003C127D"/>
    <w:rsid w:val="003C13E0"/>
    <w:rsid w:val="003C143D"/>
    <w:rsid w:val="003C1C34"/>
    <w:rsid w:val="003C2261"/>
    <w:rsid w:val="003C2A38"/>
    <w:rsid w:val="003C3BAE"/>
    <w:rsid w:val="003C49E7"/>
    <w:rsid w:val="003C4B71"/>
    <w:rsid w:val="003C4FC0"/>
    <w:rsid w:val="003C68EE"/>
    <w:rsid w:val="003C6962"/>
    <w:rsid w:val="003C6E3B"/>
    <w:rsid w:val="003C7590"/>
    <w:rsid w:val="003C7EEA"/>
    <w:rsid w:val="003D1995"/>
    <w:rsid w:val="003D1EFD"/>
    <w:rsid w:val="003D2252"/>
    <w:rsid w:val="003D2C55"/>
    <w:rsid w:val="003D35D8"/>
    <w:rsid w:val="003D374B"/>
    <w:rsid w:val="003D423A"/>
    <w:rsid w:val="003D42AF"/>
    <w:rsid w:val="003D45DF"/>
    <w:rsid w:val="003D5634"/>
    <w:rsid w:val="003D584B"/>
    <w:rsid w:val="003D5DEC"/>
    <w:rsid w:val="003D6F95"/>
    <w:rsid w:val="003D7C18"/>
    <w:rsid w:val="003E008D"/>
    <w:rsid w:val="003E074F"/>
    <w:rsid w:val="003E13D8"/>
    <w:rsid w:val="003E1965"/>
    <w:rsid w:val="003E3670"/>
    <w:rsid w:val="003E3E33"/>
    <w:rsid w:val="003E3EB3"/>
    <w:rsid w:val="003E558D"/>
    <w:rsid w:val="003E5DEB"/>
    <w:rsid w:val="003E6001"/>
    <w:rsid w:val="003E6DC6"/>
    <w:rsid w:val="003E6FFA"/>
    <w:rsid w:val="003E73F4"/>
    <w:rsid w:val="003E7744"/>
    <w:rsid w:val="003E7D39"/>
    <w:rsid w:val="003F101D"/>
    <w:rsid w:val="003F1046"/>
    <w:rsid w:val="003F1640"/>
    <w:rsid w:val="003F1E42"/>
    <w:rsid w:val="003F365E"/>
    <w:rsid w:val="003F37BD"/>
    <w:rsid w:val="003F38F7"/>
    <w:rsid w:val="003F4153"/>
    <w:rsid w:val="003F4AF4"/>
    <w:rsid w:val="003F534B"/>
    <w:rsid w:val="003F5630"/>
    <w:rsid w:val="003F5791"/>
    <w:rsid w:val="003F5E8A"/>
    <w:rsid w:val="003F6169"/>
    <w:rsid w:val="003F6377"/>
    <w:rsid w:val="003F663C"/>
    <w:rsid w:val="003F6BB6"/>
    <w:rsid w:val="003F6BEF"/>
    <w:rsid w:val="003F7F53"/>
    <w:rsid w:val="003F7F92"/>
    <w:rsid w:val="0040059C"/>
    <w:rsid w:val="0040066D"/>
    <w:rsid w:val="00400746"/>
    <w:rsid w:val="004007EE"/>
    <w:rsid w:val="00400FEB"/>
    <w:rsid w:val="00401347"/>
    <w:rsid w:val="004018AD"/>
    <w:rsid w:val="004018DB"/>
    <w:rsid w:val="00401D9A"/>
    <w:rsid w:val="0040249E"/>
    <w:rsid w:val="004033BC"/>
    <w:rsid w:val="004045A6"/>
    <w:rsid w:val="00404854"/>
    <w:rsid w:val="004048B0"/>
    <w:rsid w:val="00404EFB"/>
    <w:rsid w:val="00405586"/>
    <w:rsid w:val="004055C4"/>
    <w:rsid w:val="00405638"/>
    <w:rsid w:val="00406054"/>
    <w:rsid w:val="00406891"/>
    <w:rsid w:val="00406AFE"/>
    <w:rsid w:val="004073A1"/>
    <w:rsid w:val="00407E61"/>
    <w:rsid w:val="0041082F"/>
    <w:rsid w:val="00410887"/>
    <w:rsid w:val="00411356"/>
    <w:rsid w:val="00411503"/>
    <w:rsid w:val="0041167E"/>
    <w:rsid w:val="0041184F"/>
    <w:rsid w:val="00411FE2"/>
    <w:rsid w:val="0041249A"/>
    <w:rsid w:val="00412A79"/>
    <w:rsid w:val="00413174"/>
    <w:rsid w:val="004135F5"/>
    <w:rsid w:val="00413850"/>
    <w:rsid w:val="00414560"/>
    <w:rsid w:val="00414C63"/>
    <w:rsid w:val="0041597D"/>
    <w:rsid w:val="00415A5A"/>
    <w:rsid w:val="00415B24"/>
    <w:rsid w:val="00415FF8"/>
    <w:rsid w:val="00416081"/>
    <w:rsid w:val="00416328"/>
    <w:rsid w:val="0041644B"/>
    <w:rsid w:val="004167D5"/>
    <w:rsid w:val="00417074"/>
    <w:rsid w:val="004175AF"/>
    <w:rsid w:val="00417796"/>
    <w:rsid w:val="00417A91"/>
    <w:rsid w:val="004202A7"/>
    <w:rsid w:val="004207C1"/>
    <w:rsid w:val="00421A8F"/>
    <w:rsid w:val="0042213A"/>
    <w:rsid w:val="00422A19"/>
    <w:rsid w:val="00422F0F"/>
    <w:rsid w:val="004232DD"/>
    <w:rsid w:val="00423947"/>
    <w:rsid w:val="004239A5"/>
    <w:rsid w:val="00424165"/>
    <w:rsid w:val="00424D86"/>
    <w:rsid w:val="00425DD6"/>
    <w:rsid w:val="00426C03"/>
    <w:rsid w:val="00426C06"/>
    <w:rsid w:val="00426FB8"/>
    <w:rsid w:val="004276A7"/>
    <w:rsid w:val="00427AA2"/>
    <w:rsid w:val="00427D12"/>
    <w:rsid w:val="0043071D"/>
    <w:rsid w:val="00430799"/>
    <w:rsid w:val="00431257"/>
    <w:rsid w:val="00431376"/>
    <w:rsid w:val="004315D4"/>
    <w:rsid w:val="004316F5"/>
    <w:rsid w:val="00432169"/>
    <w:rsid w:val="004323FA"/>
    <w:rsid w:val="00432C0E"/>
    <w:rsid w:val="00433230"/>
    <w:rsid w:val="0043383D"/>
    <w:rsid w:val="00433BDF"/>
    <w:rsid w:val="00433D2C"/>
    <w:rsid w:val="00434601"/>
    <w:rsid w:val="00434AA4"/>
    <w:rsid w:val="004356B8"/>
    <w:rsid w:val="0043576D"/>
    <w:rsid w:val="004406B0"/>
    <w:rsid w:val="004409E5"/>
    <w:rsid w:val="0044138B"/>
    <w:rsid w:val="00441AC4"/>
    <w:rsid w:val="00442E2C"/>
    <w:rsid w:val="004439E9"/>
    <w:rsid w:val="00443A81"/>
    <w:rsid w:val="00443EAD"/>
    <w:rsid w:val="00444570"/>
    <w:rsid w:val="00444A47"/>
    <w:rsid w:val="0044500E"/>
    <w:rsid w:val="004456BD"/>
    <w:rsid w:val="00445A7E"/>
    <w:rsid w:val="00445EC3"/>
    <w:rsid w:val="00446AC8"/>
    <w:rsid w:val="00446DC5"/>
    <w:rsid w:val="004476BB"/>
    <w:rsid w:val="00447EA4"/>
    <w:rsid w:val="00450195"/>
    <w:rsid w:val="004504EE"/>
    <w:rsid w:val="00450AC6"/>
    <w:rsid w:val="00450E9E"/>
    <w:rsid w:val="00450F30"/>
    <w:rsid w:val="0045148B"/>
    <w:rsid w:val="0045271D"/>
    <w:rsid w:val="00452AB3"/>
    <w:rsid w:val="0045357A"/>
    <w:rsid w:val="00453FF5"/>
    <w:rsid w:val="00454DA5"/>
    <w:rsid w:val="00454F2C"/>
    <w:rsid w:val="00455152"/>
    <w:rsid w:val="004553BE"/>
    <w:rsid w:val="0045673B"/>
    <w:rsid w:val="00457CC0"/>
    <w:rsid w:val="00460E6A"/>
    <w:rsid w:val="0046127A"/>
    <w:rsid w:val="004618B1"/>
    <w:rsid w:val="00462521"/>
    <w:rsid w:val="00462D37"/>
    <w:rsid w:val="00463097"/>
    <w:rsid w:val="0046346F"/>
    <w:rsid w:val="0046386A"/>
    <w:rsid w:val="00463B18"/>
    <w:rsid w:val="004643AB"/>
    <w:rsid w:val="00464540"/>
    <w:rsid w:val="004645D4"/>
    <w:rsid w:val="0046486D"/>
    <w:rsid w:val="00464ADE"/>
    <w:rsid w:val="00464D06"/>
    <w:rsid w:val="004654A3"/>
    <w:rsid w:val="00465641"/>
    <w:rsid w:val="00465CA2"/>
    <w:rsid w:val="00466F67"/>
    <w:rsid w:val="004674BD"/>
    <w:rsid w:val="0046788F"/>
    <w:rsid w:val="004702DC"/>
    <w:rsid w:val="00471B21"/>
    <w:rsid w:val="00471F93"/>
    <w:rsid w:val="00472E48"/>
    <w:rsid w:val="004732B4"/>
    <w:rsid w:val="00473593"/>
    <w:rsid w:val="004739B3"/>
    <w:rsid w:val="00473C71"/>
    <w:rsid w:val="00474324"/>
    <w:rsid w:val="00474D42"/>
    <w:rsid w:val="00474E78"/>
    <w:rsid w:val="00474FF0"/>
    <w:rsid w:val="0047505C"/>
    <w:rsid w:val="004762EC"/>
    <w:rsid w:val="00476552"/>
    <w:rsid w:val="00476D66"/>
    <w:rsid w:val="004803F6"/>
    <w:rsid w:val="004814CD"/>
    <w:rsid w:val="004817FC"/>
    <w:rsid w:val="004819DD"/>
    <w:rsid w:val="00482E0A"/>
    <w:rsid w:val="004833EA"/>
    <w:rsid w:val="00483647"/>
    <w:rsid w:val="00483821"/>
    <w:rsid w:val="004844DB"/>
    <w:rsid w:val="004851FE"/>
    <w:rsid w:val="0048564A"/>
    <w:rsid w:val="0048565E"/>
    <w:rsid w:val="00485F22"/>
    <w:rsid w:val="00486611"/>
    <w:rsid w:val="00487645"/>
    <w:rsid w:val="00487728"/>
    <w:rsid w:val="0048784F"/>
    <w:rsid w:val="00487DA9"/>
    <w:rsid w:val="0049005A"/>
    <w:rsid w:val="00490254"/>
    <w:rsid w:val="004903DD"/>
    <w:rsid w:val="00490BE8"/>
    <w:rsid w:val="00490D30"/>
    <w:rsid w:val="004913AA"/>
    <w:rsid w:val="004928B2"/>
    <w:rsid w:val="00492F98"/>
    <w:rsid w:val="0049348E"/>
    <w:rsid w:val="0049397F"/>
    <w:rsid w:val="004940A3"/>
    <w:rsid w:val="00494424"/>
    <w:rsid w:val="004946F9"/>
    <w:rsid w:val="00495275"/>
    <w:rsid w:val="00495F00"/>
    <w:rsid w:val="004965A6"/>
    <w:rsid w:val="004968B0"/>
    <w:rsid w:val="004971AD"/>
    <w:rsid w:val="004A0A3F"/>
    <w:rsid w:val="004A185F"/>
    <w:rsid w:val="004A23BF"/>
    <w:rsid w:val="004A26CD"/>
    <w:rsid w:val="004A3DDA"/>
    <w:rsid w:val="004A4246"/>
    <w:rsid w:val="004A47DD"/>
    <w:rsid w:val="004A62BD"/>
    <w:rsid w:val="004A6B63"/>
    <w:rsid w:val="004A6CF1"/>
    <w:rsid w:val="004A75A0"/>
    <w:rsid w:val="004A7B08"/>
    <w:rsid w:val="004B0620"/>
    <w:rsid w:val="004B0850"/>
    <w:rsid w:val="004B208A"/>
    <w:rsid w:val="004B3363"/>
    <w:rsid w:val="004B4721"/>
    <w:rsid w:val="004B491D"/>
    <w:rsid w:val="004B49FA"/>
    <w:rsid w:val="004B4AA0"/>
    <w:rsid w:val="004B521F"/>
    <w:rsid w:val="004B5CAE"/>
    <w:rsid w:val="004B5DEC"/>
    <w:rsid w:val="004B6102"/>
    <w:rsid w:val="004B6C85"/>
    <w:rsid w:val="004B723B"/>
    <w:rsid w:val="004B7950"/>
    <w:rsid w:val="004B7E7B"/>
    <w:rsid w:val="004B7EAF"/>
    <w:rsid w:val="004C0273"/>
    <w:rsid w:val="004C0783"/>
    <w:rsid w:val="004C0FD8"/>
    <w:rsid w:val="004C2AFF"/>
    <w:rsid w:val="004C3046"/>
    <w:rsid w:val="004C36BA"/>
    <w:rsid w:val="004C4001"/>
    <w:rsid w:val="004C4994"/>
    <w:rsid w:val="004C4DB4"/>
    <w:rsid w:val="004C5874"/>
    <w:rsid w:val="004C6413"/>
    <w:rsid w:val="004C7A74"/>
    <w:rsid w:val="004D07C8"/>
    <w:rsid w:val="004D0A8A"/>
    <w:rsid w:val="004D0C5C"/>
    <w:rsid w:val="004D0E48"/>
    <w:rsid w:val="004D1B11"/>
    <w:rsid w:val="004D1BE9"/>
    <w:rsid w:val="004D1E96"/>
    <w:rsid w:val="004D24B8"/>
    <w:rsid w:val="004D254B"/>
    <w:rsid w:val="004D303E"/>
    <w:rsid w:val="004D3399"/>
    <w:rsid w:val="004D33D8"/>
    <w:rsid w:val="004D357C"/>
    <w:rsid w:val="004D3694"/>
    <w:rsid w:val="004D3BAF"/>
    <w:rsid w:val="004D42E4"/>
    <w:rsid w:val="004D4BB9"/>
    <w:rsid w:val="004D55AD"/>
    <w:rsid w:val="004D57AA"/>
    <w:rsid w:val="004D5823"/>
    <w:rsid w:val="004D647A"/>
    <w:rsid w:val="004D6A5C"/>
    <w:rsid w:val="004D6E02"/>
    <w:rsid w:val="004D7571"/>
    <w:rsid w:val="004D759F"/>
    <w:rsid w:val="004D7702"/>
    <w:rsid w:val="004D7AAF"/>
    <w:rsid w:val="004D7E02"/>
    <w:rsid w:val="004E02A3"/>
    <w:rsid w:val="004E04E3"/>
    <w:rsid w:val="004E0B1F"/>
    <w:rsid w:val="004E1722"/>
    <w:rsid w:val="004E1AC5"/>
    <w:rsid w:val="004E1AD1"/>
    <w:rsid w:val="004E1C3D"/>
    <w:rsid w:val="004E3B51"/>
    <w:rsid w:val="004E5286"/>
    <w:rsid w:val="004E57B3"/>
    <w:rsid w:val="004E5F7A"/>
    <w:rsid w:val="004E68D1"/>
    <w:rsid w:val="004E75D6"/>
    <w:rsid w:val="004F0048"/>
    <w:rsid w:val="004F0E36"/>
    <w:rsid w:val="004F13F3"/>
    <w:rsid w:val="004F1404"/>
    <w:rsid w:val="004F186B"/>
    <w:rsid w:val="004F193C"/>
    <w:rsid w:val="004F1C6D"/>
    <w:rsid w:val="004F1E8E"/>
    <w:rsid w:val="004F2DB8"/>
    <w:rsid w:val="004F32D7"/>
    <w:rsid w:val="004F3860"/>
    <w:rsid w:val="004F3BE9"/>
    <w:rsid w:val="004F44AB"/>
    <w:rsid w:val="004F482C"/>
    <w:rsid w:val="004F4B04"/>
    <w:rsid w:val="004F56B3"/>
    <w:rsid w:val="004F5935"/>
    <w:rsid w:val="004F5C7B"/>
    <w:rsid w:val="004F667A"/>
    <w:rsid w:val="004F67BF"/>
    <w:rsid w:val="004F6B65"/>
    <w:rsid w:val="004F732E"/>
    <w:rsid w:val="0050034A"/>
    <w:rsid w:val="00500714"/>
    <w:rsid w:val="005017C3"/>
    <w:rsid w:val="00502817"/>
    <w:rsid w:val="005028B2"/>
    <w:rsid w:val="00502A38"/>
    <w:rsid w:val="00502A47"/>
    <w:rsid w:val="00502F9E"/>
    <w:rsid w:val="00503298"/>
    <w:rsid w:val="0050392E"/>
    <w:rsid w:val="005039A3"/>
    <w:rsid w:val="005039BB"/>
    <w:rsid w:val="00503AA2"/>
    <w:rsid w:val="00503CCB"/>
    <w:rsid w:val="005043DC"/>
    <w:rsid w:val="00504832"/>
    <w:rsid w:val="00504CC5"/>
    <w:rsid w:val="00504EC1"/>
    <w:rsid w:val="00505106"/>
    <w:rsid w:val="00505582"/>
    <w:rsid w:val="00505616"/>
    <w:rsid w:val="00505956"/>
    <w:rsid w:val="00505D06"/>
    <w:rsid w:val="005069AF"/>
    <w:rsid w:val="005071EB"/>
    <w:rsid w:val="0051051D"/>
    <w:rsid w:val="00510711"/>
    <w:rsid w:val="00510BF0"/>
    <w:rsid w:val="00512975"/>
    <w:rsid w:val="0051368D"/>
    <w:rsid w:val="0051376E"/>
    <w:rsid w:val="0051397B"/>
    <w:rsid w:val="00513A41"/>
    <w:rsid w:val="00513E60"/>
    <w:rsid w:val="00513EEE"/>
    <w:rsid w:val="005145D8"/>
    <w:rsid w:val="005145EC"/>
    <w:rsid w:val="00514BCF"/>
    <w:rsid w:val="005158EB"/>
    <w:rsid w:val="00515CAF"/>
    <w:rsid w:val="00515D94"/>
    <w:rsid w:val="005162ED"/>
    <w:rsid w:val="00516D77"/>
    <w:rsid w:val="00516DE0"/>
    <w:rsid w:val="00516E90"/>
    <w:rsid w:val="00520754"/>
    <w:rsid w:val="00520B47"/>
    <w:rsid w:val="00521B42"/>
    <w:rsid w:val="00522045"/>
    <w:rsid w:val="005221AD"/>
    <w:rsid w:val="005226D9"/>
    <w:rsid w:val="00523AC6"/>
    <w:rsid w:val="00523F9C"/>
    <w:rsid w:val="00524354"/>
    <w:rsid w:val="0052477F"/>
    <w:rsid w:val="00524987"/>
    <w:rsid w:val="0052535C"/>
    <w:rsid w:val="00525A97"/>
    <w:rsid w:val="00526F5D"/>
    <w:rsid w:val="005278F1"/>
    <w:rsid w:val="00527DFB"/>
    <w:rsid w:val="00530A94"/>
    <w:rsid w:val="00530AA4"/>
    <w:rsid w:val="00531469"/>
    <w:rsid w:val="005316E4"/>
    <w:rsid w:val="00532A17"/>
    <w:rsid w:val="00532D05"/>
    <w:rsid w:val="00532D82"/>
    <w:rsid w:val="00532F9B"/>
    <w:rsid w:val="005339DA"/>
    <w:rsid w:val="00533D56"/>
    <w:rsid w:val="00534860"/>
    <w:rsid w:val="00534EBC"/>
    <w:rsid w:val="005350E8"/>
    <w:rsid w:val="0053595A"/>
    <w:rsid w:val="005370E9"/>
    <w:rsid w:val="00541661"/>
    <w:rsid w:val="00541B99"/>
    <w:rsid w:val="005423B2"/>
    <w:rsid w:val="00542BC6"/>
    <w:rsid w:val="00542F02"/>
    <w:rsid w:val="005430AB"/>
    <w:rsid w:val="00543568"/>
    <w:rsid w:val="00545079"/>
    <w:rsid w:val="00545271"/>
    <w:rsid w:val="0054597F"/>
    <w:rsid w:val="00546361"/>
    <w:rsid w:val="00546FD2"/>
    <w:rsid w:val="005477CF"/>
    <w:rsid w:val="00547D7A"/>
    <w:rsid w:val="00547ED4"/>
    <w:rsid w:val="0055005B"/>
    <w:rsid w:val="00550EFD"/>
    <w:rsid w:val="00551A09"/>
    <w:rsid w:val="00552205"/>
    <w:rsid w:val="005524EC"/>
    <w:rsid w:val="005527EC"/>
    <w:rsid w:val="005528B0"/>
    <w:rsid w:val="005529E5"/>
    <w:rsid w:val="00552E08"/>
    <w:rsid w:val="005547AF"/>
    <w:rsid w:val="0055572B"/>
    <w:rsid w:val="00556886"/>
    <w:rsid w:val="00556F6A"/>
    <w:rsid w:val="005572C3"/>
    <w:rsid w:val="0055756B"/>
    <w:rsid w:val="00561115"/>
    <w:rsid w:val="005624A8"/>
    <w:rsid w:val="0056261C"/>
    <w:rsid w:val="005628F3"/>
    <w:rsid w:val="005628F6"/>
    <w:rsid w:val="005629AB"/>
    <w:rsid w:val="00562E9E"/>
    <w:rsid w:val="00563181"/>
    <w:rsid w:val="005631A6"/>
    <w:rsid w:val="00563392"/>
    <w:rsid w:val="00563918"/>
    <w:rsid w:val="005641FE"/>
    <w:rsid w:val="00564720"/>
    <w:rsid w:val="005649D2"/>
    <w:rsid w:val="00564EED"/>
    <w:rsid w:val="005650E9"/>
    <w:rsid w:val="0056546E"/>
    <w:rsid w:val="00565912"/>
    <w:rsid w:val="00565B64"/>
    <w:rsid w:val="00567A25"/>
    <w:rsid w:val="00567DA5"/>
    <w:rsid w:val="00567FCA"/>
    <w:rsid w:val="0057108E"/>
    <w:rsid w:val="00571FA9"/>
    <w:rsid w:val="0057243D"/>
    <w:rsid w:val="00572628"/>
    <w:rsid w:val="00573AA6"/>
    <w:rsid w:val="00573D8C"/>
    <w:rsid w:val="00573EEA"/>
    <w:rsid w:val="0057437B"/>
    <w:rsid w:val="005750EE"/>
    <w:rsid w:val="00577181"/>
    <w:rsid w:val="0057720C"/>
    <w:rsid w:val="005773DF"/>
    <w:rsid w:val="0057740F"/>
    <w:rsid w:val="005774A0"/>
    <w:rsid w:val="00577C98"/>
    <w:rsid w:val="00580428"/>
    <w:rsid w:val="00580995"/>
    <w:rsid w:val="00580E5C"/>
    <w:rsid w:val="0058168C"/>
    <w:rsid w:val="00581AD8"/>
    <w:rsid w:val="00581BE8"/>
    <w:rsid w:val="00582D15"/>
    <w:rsid w:val="00582DC1"/>
    <w:rsid w:val="00583486"/>
    <w:rsid w:val="0058353B"/>
    <w:rsid w:val="00583944"/>
    <w:rsid w:val="00583BF9"/>
    <w:rsid w:val="005848D3"/>
    <w:rsid w:val="00585711"/>
    <w:rsid w:val="00585CAC"/>
    <w:rsid w:val="005866F8"/>
    <w:rsid w:val="0058742A"/>
    <w:rsid w:val="005910F4"/>
    <w:rsid w:val="00591F2C"/>
    <w:rsid w:val="00592332"/>
    <w:rsid w:val="00592C30"/>
    <w:rsid w:val="00593348"/>
    <w:rsid w:val="005934F2"/>
    <w:rsid w:val="005941CC"/>
    <w:rsid w:val="00595702"/>
    <w:rsid w:val="00595A97"/>
    <w:rsid w:val="005967AA"/>
    <w:rsid w:val="005967F8"/>
    <w:rsid w:val="005969BD"/>
    <w:rsid w:val="00596A87"/>
    <w:rsid w:val="005975CC"/>
    <w:rsid w:val="005A008C"/>
    <w:rsid w:val="005A029B"/>
    <w:rsid w:val="005A0E24"/>
    <w:rsid w:val="005A0E32"/>
    <w:rsid w:val="005A0F61"/>
    <w:rsid w:val="005A15E5"/>
    <w:rsid w:val="005A18DE"/>
    <w:rsid w:val="005A2093"/>
    <w:rsid w:val="005A2157"/>
    <w:rsid w:val="005A250C"/>
    <w:rsid w:val="005A2A63"/>
    <w:rsid w:val="005A2BF2"/>
    <w:rsid w:val="005A2BF7"/>
    <w:rsid w:val="005A312F"/>
    <w:rsid w:val="005A3DE5"/>
    <w:rsid w:val="005A476E"/>
    <w:rsid w:val="005A497B"/>
    <w:rsid w:val="005A4BB2"/>
    <w:rsid w:val="005A5368"/>
    <w:rsid w:val="005A5420"/>
    <w:rsid w:val="005A63D2"/>
    <w:rsid w:val="005A667F"/>
    <w:rsid w:val="005A6E26"/>
    <w:rsid w:val="005A75C8"/>
    <w:rsid w:val="005B052B"/>
    <w:rsid w:val="005B0A1C"/>
    <w:rsid w:val="005B0B33"/>
    <w:rsid w:val="005B1175"/>
    <w:rsid w:val="005B1AE7"/>
    <w:rsid w:val="005B1BEA"/>
    <w:rsid w:val="005B1F97"/>
    <w:rsid w:val="005B3C3B"/>
    <w:rsid w:val="005B3F32"/>
    <w:rsid w:val="005B41EA"/>
    <w:rsid w:val="005B47ED"/>
    <w:rsid w:val="005B48C8"/>
    <w:rsid w:val="005B60C3"/>
    <w:rsid w:val="005B6511"/>
    <w:rsid w:val="005B6B77"/>
    <w:rsid w:val="005B786E"/>
    <w:rsid w:val="005C0131"/>
    <w:rsid w:val="005C026A"/>
    <w:rsid w:val="005C03E4"/>
    <w:rsid w:val="005C08D2"/>
    <w:rsid w:val="005C0CA2"/>
    <w:rsid w:val="005C1115"/>
    <w:rsid w:val="005C1117"/>
    <w:rsid w:val="005C1839"/>
    <w:rsid w:val="005C1A80"/>
    <w:rsid w:val="005C1AC9"/>
    <w:rsid w:val="005C1F18"/>
    <w:rsid w:val="005C2B4D"/>
    <w:rsid w:val="005C2EEB"/>
    <w:rsid w:val="005C3918"/>
    <w:rsid w:val="005C39DB"/>
    <w:rsid w:val="005C3B1F"/>
    <w:rsid w:val="005C3DC2"/>
    <w:rsid w:val="005C3F1D"/>
    <w:rsid w:val="005C4512"/>
    <w:rsid w:val="005C4615"/>
    <w:rsid w:val="005C49E1"/>
    <w:rsid w:val="005C4E60"/>
    <w:rsid w:val="005C60E0"/>
    <w:rsid w:val="005C6511"/>
    <w:rsid w:val="005C7531"/>
    <w:rsid w:val="005C7AFE"/>
    <w:rsid w:val="005C7B71"/>
    <w:rsid w:val="005D0114"/>
    <w:rsid w:val="005D0181"/>
    <w:rsid w:val="005D039B"/>
    <w:rsid w:val="005D0E7F"/>
    <w:rsid w:val="005D1146"/>
    <w:rsid w:val="005D13C4"/>
    <w:rsid w:val="005D2002"/>
    <w:rsid w:val="005D23A1"/>
    <w:rsid w:val="005D27D2"/>
    <w:rsid w:val="005D3F36"/>
    <w:rsid w:val="005D3FEB"/>
    <w:rsid w:val="005D473A"/>
    <w:rsid w:val="005D4B30"/>
    <w:rsid w:val="005D6AAD"/>
    <w:rsid w:val="005D6F16"/>
    <w:rsid w:val="005D76FB"/>
    <w:rsid w:val="005D7B41"/>
    <w:rsid w:val="005E035C"/>
    <w:rsid w:val="005E08B3"/>
    <w:rsid w:val="005E0959"/>
    <w:rsid w:val="005E27CB"/>
    <w:rsid w:val="005E28E0"/>
    <w:rsid w:val="005E2B0E"/>
    <w:rsid w:val="005E2DB4"/>
    <w:rsid w:val="005E3227"/>
    <w:rsid w:val="005E34AB"/>
    <w:rsid w:val="005E368B"/>
    <w:rsid w:val="005E381B"/>
    <w:rsid w:val="005E3D8A"/>
    <w:rsid w:val="005E47F3"/>
    <w:rsid w:val="005E517A"/>
    <w:rsid w:val="005E588F"/>
    <w:rsid w:val="005E5A2F"/>
    <w:rsid w:val="005E65B4"/>
    <w:rsid w:val="005E670D"/>
    <w:rsid w:val="005E7283"/>
    <w:rsid w:val="005F0550"/>
    <w:rsid w:val="005F1825"/>
    <w:rsid w:val="005F1D2D"/>
    <w:rsid w:val="005F30B2"/>
    <w:rsid w:val="005F3811"/>
    <w:rsid w:val="005F4187"/>
    <w:rsid w:val="005F4EF5"/>
    <w:rsid w:val="005F5494"/>
    <w:rsid w:val="005F5541"/>
    <w:rsid w:val="005F584A"/>
    <w:rsid w:val="005F5CE6"/>
    <w:rsid w:val="005F62BA"/>
    <w:rsid w:val="005F762B"/>
    <w:rsid w:val="005F778A"/>
    <w:rsid w:val="00600A8B"/>
    <w:rsid w:val="00600AF3"/>
    <w:rsid w:val="00601AC3"/>
    <w:rsid w:val="00601D96"/>
    <w:rsid w:val="00601E68"/>
    <w:rsid w:val="006020CC"/>
    <w:rsid w:val="006020E4"/>
    <w:rsid w:val="00602DCA"/>
    <w:rsid w:val="00603A28"/>
    <w:rsid w:val="00604449"/>
    <w:rsid w:val="00604D98"/>
    <w:rsid w:val="006054B4"/>
    <w:rsid w:val="006064A9"/>
    <w:rsid w:val="006066F5"/>
    <w:rsid w:val="006070A2"/>
    <w:rsid w:val="00607605"/>
    <w:rsid w:val="0060766F"/>
    <w:rsid w:val="00607ABD"/>
    <w:rsid w:val="00610ADB"/>
    <w:rsid w:val="00611C39"/>
    <w:rsid w:val="006120F1"/>
    <w:rsid w:val="0061228F"/>
    <w:rsid w:val="006122DA"/>
    <w:rsid w:val="0061335C"/>
    <w:rsid w:val="0061432C"/>
    <w:rsid w:val="00614BC3"/>
    <w:rsid w:val="006150BE"/>
    <w:rsid w:val="00615224"/>
    <w:rsid w:val="00615561"/>
    <w:rsid w:val="00616179"/>
    <w:rsid w:val="00616D04"/>
    <w:rsid w:val="00616D78"/>
    <w:rsid w:val="00616E2D"/>
    <w:rsid w:val="00617788"/>
    <w:rsid w:val="00617CF7"/>
    <w:rsid w:val="00617D2D"/>
    <w:rsid w:val="00617F04"/>
    <w:rsid w:val="0062013A"/>
    <w:rsid w:val="006206ED"/>
    <w:rsid w:val="00620864"/>
    <w:rsid w:val="00620ED4"/>
    <w:rsid w:val="006211DA"/>
    <w:rsid w:val="0062145A"/>
    <w:rsid w:val="00621B5A"/>
    <w:rsid w:val="00622027"/>
    <w:rsid w:val="0062285D"/>
    <w:rsid w:val="00622D5D"/>
    <w:rsid w:val="00622D8D"/>
    <w:rsid w:val="00623241"/>
    <w:rsid w:val="006241E9"/>
    <w:rsid w:val="00624213"/>
    <w:rsid w:val="00624B0D"/>
    <w:rsid w:val="0062666D"/>
    <w:rsid w:val="00626BB4"/>
    <w:rsid w:val="00630965"/>
    <w:rsid w:val="00630B40"/>
    <w:rsid w:val="00630CBB"/>
    <w:rsid w:val="006318AB"/>
    <w:rsid w:val="0063252E"/>
    <w:rsid w:val="00632F47"/>
    <w:rsid w:val="006335BF"/>
    <w:rsid w:val="0063390E"/>
    <w:rsid w:val="006341B5"/>
    <w:rsid w:val="006344C5"/>
    <w:rsid w:val="006349E4"/>
    <w:rsid w:val="00634AC0"/>
    <w:rsid w:val="00635813"/>
    <w:rsid w:val="00636AD3"/>
    <w:rsid w:val="00637486"/>
    <w:rsid w:val="0063786C"/>
    <w:rsid w:val="00640DE8"/>
    <w:rsid w:val="00641609"/>
    <w:rsid w:val="006418B0"/>
    <w:rsid w:val="006423C3"/>
    <w:rsid w:val="0064316D"/>
    <w:rsid w:val="00643725"/>
    <w:rsid w:val="00643AE8"/>
    <w:rsid w:val="00644E9A"/>
    <w:rsid w:val="006461E6"/>
    <w:rsid w:val="006462D0"/>
    <w:rsid w:val="00647A26"/>
    <w:rsid w:val="00647B28"/>
    <w:rsid w:val="00650C2D"/>
    <w:rsid w:val="006510AD"/>
    <w:rsid w:val="006516CC"/>
    <w:rsid w:val="00651AF3"/>
    <w:rsid w:val="00652B59"/>
    <w:rsid w:val="006534F1"/>
    <w:rsid w:val="00654B01"/>
    <w:rsid w:val="00654CCE"/>
    <w:rsid w:val="006554EA"/>
    <w:rsid w:val="0065677B"/>
    <w:rsid w:val="00656B21"/>
    <w:rsid w:val="00656B49"/>
    <w:rsid w:val="00657DBE"/>
    <w:rsid w:val="00660C29"/>
    <w:rsid w:val="0066360D"/>
    <w:rsid w:val="006639F3"/>
    <w:rsid w:val="00663E05"/>
    <w:rsid w:val="0066500C"/>
    <w:rsid w:val="00665FD0"/>
    <w:rsid w:val="00666BFF"/>
    <w:rsid w:val="00667237"/>
    <w:rsid w:val="0066743F"/>
    <w:rsid w:val="006678EA"/>
    <w:rsid w:val="00670B75"/>
    <w:rsid w:val="00670D38"/>
    <w:rsid w:val="00671617"/>
    <w:rsid w:val="006718FB"/>
    <w:rsid w:val="0067257B"/>
    <w:rsid w:val="006730B8"/>
    <w:rsid w:val="00673307"/>
    <w:rsid w:val="00674280"/>
    <w:rsid w:val="006747DB"/>
    <w:rsid w:val="0067493E"/>
    <w:rsid w:val="00674B7F"/>
    <w:rsid w:val="00674C0E"/>
    <w:rsid w:val="00674FA3"/>
    <w:rsid w:val="00675016"/>
    <w:rsid w:val="0067542D"/>
    <w:rsid w:val="006766C3"/>
    <w:rsid w:val="00676D5D"/>
    <w:rsid w:val="00676D6A"/>
    <w:rsid w:val="0067716C"/>
    <w:rsid w:val="00677491"/>
    <w:rsid w:val="0067789C"/>
    <w:rsid w:val="00677968"/>
    <w:rsid w:val="00677A30"/>
    <w:rsid w:val="00677F29"/>
    <w:rsid w:val="006806D7"/>
    <w:rsid w:val="006808F3"/>
    <w:rsid w:val="00680B51"/>
    <w:rsid w:val="0068100B"/>
    <w:rsid w:val="00681B50"/>
    <w:rsid w:val="00682206"/>
    <w:rsid w:val="00682B0F"/>
    <w:rsid w:val="00682DBD"/>
    <w:rsid w:val="00682F6C"/>
    <w:rsid w:val="006831DC"/>
    <w:rsid w:val="0068340F"/>
    <w:rsid w:val="00683743"/>
    <w:rsid w:val="006842B7"/>
    <w:rsid w:val="00684E09"/>
    <w:rsid w:val="00685895"/>
    <w:rsid w:val="00685B17"/>
    <w:rsid w:val="00685E1A"/>
    <w:rsid w:val="00685F38"/>
    <w:rsid w:val="00686EF9"/>
    <w:rsid w:val="0068747A"/>
    <w:rsid w:val="00687984"/>
    <w:rsid w:val="006903E2"/>
    <w:rsid w:val="00690AAE"/>
    <w:rsid w:val="00690E2F"/>
    <w:rsid w:val="00691401"/>
    <w:rsid w:val="006914FB"/>
    <w:rsid w:val="006918C6"/>
    <w:rsid w:val="00692C63"/>
    <w:rsid w:val="006931BF"/>
    <w:rsid w:val="006940BF"/>
    <w:rsid w:val="006944E5"/>
    <w:rsid w:val="0069576D"/>
    <w:rsid w:val="0069576E"/>
    <w:rsid w:val="00695F4A"/>
    <w:rsid w:val="006963FA"/>
    <w:rsid w:val="00696A72"/>
    <w:rsid w:val="00697500"/>
    <w:rsid w:val="0069780B"/>
    <w:rsid w:val="006A077A"/>
    <w:rsid w:val="006A0AE1"/>
    <w:rsid w:val="006A0B4C"/>
    <w:rsid w:val="006A0D61"/>
    <w:rsid w:val="006A11D5"/>
    <w:rsid w:val="006A1AA8"/>
    <w:rsid w:val="006A1BD3"/>
    <w:rsid w:val="006A208C"/>
    <w:rsid w:val="006A25A1"/>
    <w:rsid w:val="006A3203"/>
    <w:rsid w:val="006A331F"/>
    <w:rsid w:val="006A35A9"/>
    <w:rsid w:val="006A4880"/>
    <w:rsid w:val="006A4B8E"/>
    <w:rsid w:val="006A574A"/>
    <w:rsid w:val="006A5912"/>
    <w:rsid w:val="006A5F1C"/>
    <w:rsid w:val="006A76A2"/>
    <w:rsid w:val="006B050A"/>
    <w:rsid w:val="006B0F4C"/>
    <w:rsid w:val="006B1763"/>
    <w:rsid w:val="006B2E6D"/>
    <w:rsid w:val="006B3CCB"/>
    <w:rsid w:val="006B44C2"/>
    <w:rsid w:val="006B456F"/>
    <w:rsid w:val="006B4B05"/>
    <w:rsid w:val="006C0956"/>
    <w:rsid w:val="006C0FD9"/>
    <w:rsid w:val="006C2156"/>
    <w:rsid w:val="006C2B65"/>
    <w:rsid w:val="006C3BCC"/>
    <w:rsid w:val="006C49B4"/>
    <w:rsid w:val="006C4A8E"/>
    <w:rsid w:val="006C4C2C"/>
    <w:rsid w:val="006C55C8"/>
    <w:rsid w:val="006C562B"/>
    <w:rsid w:val="006C663D"/>
    <w:rsid w:val="006C7723"/>
    <w:rsid w:val="006D0144"/>
    <w:rsid w:val="006D017B"/>
    <w:rsid w:val="006D04B7"/>
    <w:rsid w:val="006D0B7D"/>
    <w:rsid w:val="006D2443"/>
    <w:rsid w:val="006D2AB1"/>
    <w:rsid w:val="006D2DA5"/>
    <w:rsid w:val="006D3CD8"/>
    <w:rsid w:val="006D5290"/>
    <w:rsid w:val="006D597B"/>
    <w:rsid w:val="006D5CBC"/>
    <w:rsid w:val="006D686A"/>
    <w:rsid w:val="006D6C29"/>
    <w:rsid w:val="006D721D"/>
    <w:rsid w:val="006D7B9A"/>
    <w:rsid w:val="006D7D3F"/>
    <w:rsid w:val="006D7DEC"/>
    <w:rsid w:val="006E06AD"/>
    <w:rsid w:val="006E0ADB"/>
    <w:rsid w:val="006E15FC"/>
    <w:rsid w:val="006E1AF8"/>
    <w:rsid w:val="006E2146"/>
    <w:rsid w:val="006E2906"/>
    <w:rsid w:val="006E4222"/>
    <w:rsid w:val="006E438C"/>
    <w:rsid w:val="006E4DE5"/>
    <w:rsid w:val="006E56D4"/>
    <w:rsid w:val="006E6CFB"/>
    <w:rsid w:val="006E779F"/>
    <w:rsid w:val="006E7BB4"/>
    <w:rsid w:val="006E7F38"/>
    <w:rsid w:val="006F0139"/>
    <w:rsid w:val="006F1094"/>
    <w:rsid w:val="006F2BBD"/>
    <w:rsid w:val="006F37D6"/>
    <w:rsid w:val="006F39B0"/>
    <w:rsid w:val="006F449A"/>
    <w:rsid w:val="006F4D6A"/>
    <w:rsid w:val="006F5F53"/>
    <w:rsid w:val="006F62FD"/>
    <w:rsid w:val="006F63A1"/>
    <w:rsid w:val="006F6682"/>
    <w:rsid w:val="006F716B"/>
    <w:rsid w:val="00700662"/>
    <w:rsid w:val="00700788"/>
    <w:rsid w:val="00700FF5"/>
    <w:rsid w:val="0070165D"/>
    <w:rsid w:val="00701950"/>
    <w:rsid w:val="00703153"/>
    <w:rsid w:val="0070319A"/>
    <w:rsid w:val="0070373A"/>
    <w:rsid w:val="0070396F"/>
    <w:rsid w:val="007039E6"/>
    <w:rsid w:val="00703A37"/>
    <w:rsid w:val="00703CB9"/>
    <w:rsid w:val="00704025"/>
    <w:rsid w:val="00704CAA"/>
    <w:rsid w:val="00704ED1"/>
    <w:rsid w:val="0070506F"/>
    <w:rsid w:val="0070507F"/>
    <w:rsid w:val="00705434"/>
    <w:rsid w:val="007066BE"/>
    <w:rsid w:val="00706E74"/>
    <w:rsid w:val="007073E6"/>
    <w:rsid w:val="007075A0"/>
    <w:rsid w:val="00710023"/>
    <w:rsid w:val="0071006E"/>
    <w:rsid w:val="00711398"/>
    <w:rsid w:val="00711690"/>
    <w:rsid w:val="00711820"/>
    <w:rsid w:val="00712C32"/>
    <w:rsid w:val="00712CE9"/>
    <w:rsid w:val="00712F4D"/>
    <w:rsid w:val="00712FDB"/>
    <w:rsid w:val="00713127"/>
    <w:rsid w:val="00713829"/>
    <w:rsid w:val="00714C53"/>
    <w:rsid w:val="00716414"/>
    <w:rsid w:val="007164CC"/>
    <w:rsid w:val="00717AC7"/>
    <w:rsid w:val="00717D4D"/>
    <w:rsid w:val="00720448"/>
    <w:rsid w:val="0072047F"/>
    <w:rsid w:val="00722388"/>
    <w:rsid w:val="00722974"/>
    <w:rsid w:val="00722E1D"/>
    <w:rsid w:val="00723C3A"/>
    <w:rsid w:val="00724B5E"/>
    <w:rsid w:val="00724C91"/>
    <w:rsid w:val="00724D74"/>
    <w:rsid w:val="00725193"/>
    <w:rsid w:val="0072535F"/>
    <w:rsid w:val="007259E3"/>
    <w:rsid w:val="0072683D"/>
    <w:rsid w:val="00726CAD"/>
    <w:rsid w:val="00726F02"/>
    <w:rsid w:val="00727249"/>
    <w:rsid w:val="00730BD8"/>
    <w:rsid w:val="00730DDF"/>
    <w:rsid w:val="007311EC"/>
    <w:rsid w:val="00731A90"/>
    <w:rsid w:val="00731BA3"/>
    <w:rsid w:val="00731D6A"/>
    <w:rsid w:val="00732795"/>
    <w:rsid w:val="00732B99"/>
    <w:rsid w:val="00732F73"/>
    <w:rsid w:val="0073365F"/>
    <w:rsid w:val="00733B28"/>
    <w:rsid w:val="00733EC2"/>
    <w:rsid w:val="0073416C"/>
    <w:rsid w:val="007341F8"/>
    <w:rsid w:val="00734617"/>
    <w:rsid w:val="007352A5"/>
    <w:rsid w:val="007361E3"/>
    <w:rsid w:val="007366B0"/>
    <w:rsid w:val="00736B64"/>
    <w:rsid w:val="00736C04"/>
    <w:rsid w:val="007403AA"/>
    <w:rsid w:val="007409BA"/>
    <w:rsid w:val="00741832"/>
    <w:rsid w:val="0074189A"/>
    <w:rsid w:val="0074263E"/>
    <w:rsid w:val="007427A7"/>
    <w:rsid w:val="00742A73"/>
    <w:rsid w:val="00742DC9"/>
    <w:rsid w:val="00742EFF"/>
    <w:rsid w:val="00743422"/>
    <w:rsid w:val="0074378B"/>
    <w:rsid w:val="00743824"/>
    <w:rsid w:val="00743F9C"/>
    <w:rsid w:val="0074432A"/>
    <w:rsid w:val="00745DDD"/>
    <w:rsid w:val="00746BB0"/>
    <w:rsid w:val="00746BCC"/>
    <w:rsid w:val="00746ED1"/>
    <w:rsid w:val="00750C98"/>
    <w:rsid w:val="007533F5"/>
    <w:rsid w:val="007536FB"/>
    <w:rsid w:val="00753AE9"/>
    <w:rsid w:val="00753B87"/>
    <w:rsid w:val="00753D15"/>
    <w:rsid w:val="00753DAB"/>
    <w:rsid w:val="007544E3"/>
    <w:rsid w:val="00754D82"/>
    <w:rsid w:val="00754E46"/>
    <w:rsid w:val="00754F58"/>
    <w:rsid w:val="0075629B"/>
    <w:rsid w:val="00756E90"/>
    <w:rsid w:val="007603DB"/>
    <w:rsid w:val="00760987"/>
    <w:rsid w:val="00760D08"/>
    <w:rsid w:val="007614C7"/>
    <w:rsid w:val="00762256"/>
    <w:rsid w:val="007625C8"/>
    <w:rsid w:val="0076333C"/>
    <w:rsid w:val="007639C0"/>
    <w:rsid w:val="00765783"/>
    <w:rsid w:val="007658CD"/>
    <w:rsid w:val="00766A92"/>
    <w:rsid w:val="007674F5"/>
    <w:rsid w:val="00767848"/>
    <w:rsid w:val="00767D12"/>
    <w:rsid w:val="00767DCA"/>
    <w:rsid w:val="00770AC5"/>
    <w:rsid w:val="00770BD5"/>
    <w:rsid w:val="0077193F"/>
    <w:rsid w:val="00772632"/>
    <w:rsid w:val="00772B3C"/>
    <w:rsid w:val="00772B7F"/>
    <w:rsid w:val="00772F34"/>
    <w:rsid w:val="00773183"/>
    <w:rsid w:val="007733CE"/>
    <w:rsid w:val="00773F03"/>
    <w:rsid w:val="00774312"/>
    <w:rsid w:val="00774976"/>
    <w:rsid w:val="007757BC"/>
    <w:rsid w:val="00775804"/>
    <w:rsid w:val="00775824"/>
    <w:rsid w:val="00775DBB"/>
    <w:rsid w:val="00776448"/>
    <w:rsid w:val="00776C93"/>
    <w:rsid w:val="00776E89"/>
    <w:rsid w:val="0077738E"/>
    <w:rsid w:val="00780876"/>
    <w:rsid w:val="00780CD6"/>
    <w:rsid w:val="00780FD7"/>
    <w:rsid w:val="00781855"/>
    <w:rsid w:val="00781A8E"/>
    <w:rsid w:val="00781B8B"/>
    <w:rsid w:val="0078281C"/>
    <w:rsid w:val="00782864"/>
    <w:rsid w:val="00782F23"/>
    <w:rsid w:val="007833DB"/>
    <w:rsid w:val="00784CE8"/>
    <w:rsid w:val="0078630F"/>
    <w:rsid w:val="007874BD"/>
    <w:rsid w:val="00787E63"/>
    <w:rsid w:val="00787FB5"/>
    <w:rsid w:val="00790237"/>
    <w:rsid w:val="00790780"/>
    <w:rsid w:val="007909EA"/>
    <w:rsid w:val="00790BAA"/>
    <w:rsid w:val="0079101E"/>
    <w:rsid w:val="00791C5E"/>
    <w:rsid w:val="00792159"/>
    <w:rsid w:val="00792578"/>
    <w:rsid w:val="00792F0E"/>
    <w:rsid w:val="00792F1D"/>
    <w:rsid w:val="00793755"/>
    <w:rsid w:val="00793800"/>
    <w:rsid w:val="00793843"/>
    <w:rsid w:val="00793862"/>
    <w:rsid w:val="00793A56"/>
    <w:rsid w:val="00794152"/>
    <w:rsid w:val="00794A61"/>
    <w:rsid w:val="00794EEA"/>
    <w:rsid w:val="00795171"/>
    <w:rsid w:val="007954F8"/>
    <w:rsid w:val="007956E8"/>
    <w:rsid w:val="007963C4"/>
    <w:rsid w:val="00796C97"/>
    <w:rsid w:val="00797F85"/>
    <w:rsid w:val="007A03A5"/>
    <w:rsid w:val="007A0606"/>
    <w:rsid w:val="007A0E50"/>
    <w:rsid w:val="007A1A8F"/>
    <w:rsid w:val="007A20ED"/>
    <w:rsid w:val="007A2161"/>
    <w:rsid w:val="007A2181"/>
    <w:rsid w:val="007A21B3"/>
    <w:rsid w:val="007A3068"/>
    <w:rsid w:val="007A3864"/>
    <w:rsid w:val="007A4308"/>
    <w:rsid w:val="007A504C"/>
    <w:rsid w:val="007A568B"/>
    <w:rsid w:val="007A5BFC"/>
    <w:rsid w:val="007A5E8C"/>
    <w:rsid w:val="007A5F1B"/>
    <w:rsid w:val="007A60DC"/>
    <w:rsid w:val="007A664F"/>
    <w:rsid w:val="007A6ED0"/>
    <w:rsid w:val="007A77E0"/>
    <w:rsid w:val="007B012F"/>
    <w:rsid w:val="007B0CBC"/>
    <w:rsid w:val="007B0DE5"/>
    <w:rsid w:val="007B16CB"/>
    <w:rsid w:val="007B18FB"/>
    <w:rsid w:val="007B1920"/>
    <w:rsid w:val="007B1E4B"/>
    <w:rsid w:val="007B244D"/>
    <w:rsid w:val="007B3032"/>
    <w:rsid w:val="007B3887"/>
    <w:rsid w:val="007B3A68"/>
    <w:rsid w:val="007B3F29"/>
    <w:rsid w:val="007B4051"/>
    <w:rsid w:val="007B50CE"/>
    <w:rsid w:val="007B61BD"/>
    <w:rsid w:val="007B63DF"/>
    <w:rsid w:val="007B68C1"/>
    <w:rsid w:val="007B6C9B"/>
    <w:rsid w:val="007B777E"/>
    <w:rsid w:val="007B7CA3"/>
    <w:rsid w:val="007B7CF9"/>
    <w:rsid w:val="007C005D"/>
    <w:rsid w:val="007C07AB"/>
    <w:rsid w:val="007C1183"/>
    <w:rsid w:val="007C11EC"/>
    <w:rsid w:val="007C1442"/>
    <w:rsid w:val="007C149B"/>
    <w:rsid w:val="007C1A69"/>
    <w:rsid w:val="007C1FE7"/>
    <w:rsid w:val="007C279B"/>
    <w:rsid w:val="007C4355"/>
    <w:rsid w:val="007C48E0"/>
    <w:rsid w:val="007C5248"/>
    <w:rsid w:val="007C5F2C"/>
    <w:rsid w:val="007C605A"/>
    <w:rsid w:val="007C69BA"/>
    <w:rsid w:val="007C6B0E"/>
    <w:rsid w:val="007C6BE3"/>
    <w:rsid w:val="007C6C2A"/>
    <w:rsid w:val="007C6DCE"/>
    <w:rsid w:val="007C7D89"/>
    <w:rsid w:val="007D07D1"/>
    <w:rsid w:val="007D1D4B"/>
    <w:rsid w:val="007D1F07"/>
    <w:rsid w:val="007D26CC"/>
    <w:rsid w:val="007D2B61"/>
    <w:rsid w:val="007D2F76"/>
    <w:rsid w:val="007D30AD"/>
    <w:rsid w:val="007D3135"/>
    <w:rsid w:val="007D3F7A"/>
    <w:rsid w:val="007D5FDC"/>
    <w:rsid w:val="007D654D"/>
    <w:rsid w:val="007D66C5"/>
    <w:rsid w:val="007D7157"/>
    <w:rsid w:val="007D75A4"/>
    <w:rsid w:val="007D7EC2"/>
    <w:rsid w:val="007E0FDA"/>
    <w:rsid w:val="007E12F8"/>
    <w:rsid w:val="007E1509"/>
    <w:rsid w:val="007E1690"/>
    <w:rsid w:val="007E1958"/>
    <w:rsid w:val="007E1C6D"/>
    <w:rsid w:val="007E1E92"/>
    <w:rsid w:val="007E2F6C"/>
    <w:rsid w:val="007E4A0C"/>
    <w:rsid w:val="007E4AA7"/>
    <w:rsid w:val="007E529E"/>
    <w:rsid w:val="007E54AF"/>
    <w:rsid w:val="007E54F3"/>
    <w:rsid w:val="007E5A05"/>
    <w:rsid w:val="007E5B57"/>
    <w:rsid w:val="007E5CF9"/>
    <w:rsid w:val="007E6D7D"/>
    <w:rsid w:val="007E7054"/>
    <w:rsid w:val="007F11FB"/>
    <w:rsid w:val="007F1795"/>
    <w:rsid w:val="007F1D41"/>
    <w:rsid w:val="007F1E91"/>
    <w:rsid w:val="007F276F"/>
    <w:rsid w:val="007F3D8B"/>
    <w:rsid w:val="007F3EB6"/>
    <w:rsid w:val="007F3F4D"/>
    <w:rsid w:val="007F5539"/>
    <w:rsid w:val="007F571B"/>
    <w:rsid w:val="007F576B"/>
    <w:rsid w:val="007F5A9A"/>
    <w:rsid w:val="007F5B95"/>
    <w:rsid w:val="007F5E39"/>
    <w:rsid w:val="007F628C"/>
    <w:rsid w:val="007F71BD"/>
    <w:rsid w:val="007F7529"/>
    <w:rsid w:val="007F7699"/>
    <w:rsid w:val="007F79C3"/>
    <w:rsid w:val="0080022B"/>
    <w:rsid w:val="00800365"/>
    <w:rsid w:val="008003B4"/>
    <w:rsid w:val="00800BC2"/>
    <w:rsid w:val="00801190"/>
    <w:rsid w:val="008014D7"/>
    <w:rsid w:val="0080151F"/>
    <w:rsid w:val="00801623"/>
    <w:rsid w:val="00801B11"/>
    <w:rsid w:val="00801B19"/>
    <w:rsid w:val="008025E5"/>
    <w:rsid w:val="00802F14"/>
    <w:rsid w:val="008031F8"/>
    <w:rsid w:val="008047DC"/>
    <w:rsid w:val="00804A44"/>
    <w:rsid w:val="00804C71"/>
    <w:rsid w:val="00804DFF"/>
    <w:rsid w:val="0080558E"/>
    <w:rsid w:val="00805C90"/>
    <w:rsid w:val="008065C4"/>
    <w:rsid w:val="008066D6"/>
    <w:rsid w:val="00806A95"/>
    <w:rsid w:val="00807054"/>
    <w:rsid w:val="00807231"/>
    <w:rsid w:val="0080764F"/>
    <w:rsid w:val="0081028E"/>
    <w:rsid w:val="008103C5"/>
    <w:rsid w:val="00811758"/>
    <w:rsid w:val="00812DB6"/>
    <w:rsid w:val="00813518"/>
    <w:rsid w:val="00813739"/>
    <w:rsid w:val="008139F0"/>
    <w:rsid w:val="00813CD1"/>
    <w:rsid w:val="00814349"/>
    <w:rsid w:val="00814493"/>
    <w:rsid w:val="00814BE1"/>
    <w:rsid w:val="00814C6C"/>
    <w:rsid w:val="00814E2A"/>
    <w:rsid w:val="00815AF6"/>
    <w:rsid w:val="0081624C"/>
    <w:rsid w:val="008165EE"/>
    <w:rsid w:val="00816A36"/>
    <w:rsid w:val="00816DE0"/>
    <w:rsid w:val="00817181"/>
    <w:rsid w:val="00817BDF"/>
    <w:rsid w:val="00817E14"/>
    <w:rsid w:val="00820250"/>
    <w:rsid w:val="008202EE"/>
    <w:rsid w:val="008205A7"/>
    <w:rsid w:val="008206B2"/>
    <w:rsid w:val="00820DCE"/>
    <w:rsid w:val="0082156E"/>
    <w:rsid w:val="0082190E"/>
    <w:rsid w:val="00821E17"/>
    <w:rsid w:val="008223CA"/>
    <w:rsid w:val="00822971"/>
    <w:rsid w:val="00823A73"/>
    <w:rsid w:val="00823B2B"/>
    <w:rsid w:val="00824701"/>
    <w:rsid w:val="00824CA0"/>
    <w:rsid w:val="008257C1"/>
    <w:rsid w:val="00827887"/>
    <w:rsid w:val="00827AEA"/>
    <w:rsid w:val="00827E60"/>
    <w:rsid w:val="00830371"/>
    <w:rsid w:val="00830BED"/>
    <w:rsid w:val="00831461"/>
    <w:rsid w:val="00831703"/>
    <w:rsid w:val="00831AC0"/>
    <w:rsid w:val="00831E31"/>
    <w:rsid w:val="0083220B"/>
    <w:rsid w:val="00832493"/>
    <w:rsid w:val="008328B0"/>
    <w:rsid w:val="00832E21"/>
    <w:rsid w:val="00833306"/>
    <w:rsid w:val="00833AD8"/>
    <w:rsid w:val="008342E1"/>
    <w:rsid w:val="008354B3"/>
    <w:rsid w:val="008366EB"/>
    <w:rsid w:val="00836A26"/>
    <w:rsid w:val="0083704B"/>
    <w:rsid w:val="00837092"/>
    <w:rsid w:val="008371D3"/>
    <w:rsid w:val="00840212"/>
    <w:rsid w:val="008408EA"/>
    <w:rsid w:val="00840E48"/>
    <w:rsid w:val="00843114"/>
    <w:rsid w:val="00843B87"/>
    <w:rsid w:val="00843F4D"/>
    <w:rsid w:val="00843FC9"/>
    <w:rsid w:val="00844079"/>
    <w:rsid w:val="008453D2"/>
    <w:rsid w:val="00845699"/>
    <w:rsid w:val="0084593E"/>
    <w:rsid w:val="00845BC8"/>
    <w:rsid w:val="00846C2E"/>
    <w:rsid w:val="008502B9"/>
    <w:rsid w:val="00850FFD"/>
    <w:rsid w:val="008516E6"/>
    <w:rsid w:val="008520C8"/>
    <w:rsid w:val="00852EF1"/>
    <w:rsid w:val="00853729"/>
    <w:rsid w:val="008537BB"/>
    <w:rsid w:val="00853F3E"/>
    <w:rsid w:val="00854F5F"/>
    <w:rsid w:val="0085541F"/>
    <w:rsid w:val="0085544A"/>
    <w:rsid w:val="00855874"/>
    <w:rsid w:val="00856015"/>
    <w:rsid w:val="0085650E"/>
    <w:rsid w:val="008568EE"/>
    <w:rsid w:val="00857742"/>
    <w:rsid w:val="00860338"/>
    <w:rsid w:val="008607FA"/>
    <w:rsid w:val="00860828"/>
    <w:rsid w:val="00860CF3"/>
    <w:rsid w:val="00861596"/>
    <w:rsid w:val="00861647"/>
    <w:rsid w:val="00861ED3"/>
    <w:rsid w:val="00861F70"/>
    <w:rsid w:val="00862781"/>
    <w:rsid w:val="00863421"/>
    <w:rsid w:val="00864A04"/>
    <w:rsid w:val="008656E9"/>
    <w:rsid w:val="0086586E"/>
    <w:rsid w:val="0086680C"/>
    <w:rsid w:val="00866B86"/>
    <w:rsid w:val="00866BE4"/>
    <w:rsid w:val="00866FA3"/>
    <w:rsid w:val="00867268"/>
    <w:rsid w:val="00867F79"/>
    <w:rsid w:val="008701CE"/>
    <w:rsid w:val="00870679"/>
    <w:rsid w:val="008706D4"/>
    <w:rsid w:val="008706DF"/>
    <w:rsid w:val="008711CE"/>
    <w:rsid w:val="00871373"/>
    <w:rsid w:val="008734E9"/>
    <w:rsid w:val="0087497D"/>
    <w:rsid w:val="00874ABA"/>
    <w:rsid w:val="00874C1C"/>
    <w:rsid w:val="008751F5"/>
    <w:rsid w:val="00875226"/>
    <w:rsid w:val="00875297"/>
    <w:rsid w:val="00875583"/>
    <w:rsid w:val="0087580C"/>
    <w:rsid w:val="00875CA6"/>
    <w:rsid w:val="00875F5C"/>
    <w:rsid w:val="00876313"/>
    <w:rsid w:val="00876D10"/>
    <w:rsid w:val="008778F5"/>
    <w:rsid w:val="00877E6E"/>
    <w:rsid w:val="00880308"/>
    <w:rsid w:val="00880844"/>
    <w:rsid w:val="008811EB"/>
    <w:rsid w:val="00881C3F"/>
    <w:rsid w:val="00882949"/>
    <w:rsid w:val="00882FB5"/>
    <w:rsid w:val="0088467A"/>
    <w:rsid w:val="00884A7C"/>
    <w:rsid w:val="008857F8"/>
    <w:rsid w:val="008860B5"/>
    <w:rsid w:val="00886FE6"/>
    <w:rsid w:val="008874A8"/>
    <w:rsid w:val="0088793F"/>
    <w:rsid w:val="008914F1"/>
    <w:rsid w:val="00891B1F"/>
    <w:rsid w:val="008927F6"/>
    <w:rsid w:val="00892A11"/>
    <w:rsid w:val="0089304C"/>
    <w:rsid w:val="008931B6"/>
    <w:rsid w:val="00893406"/>
    <w:rsid w:val="00893B37"/>
    <w:rsid w:val="0089494E"/>
    <w:rsid w:val="0089539C"/>
    <w:rsid w:val="00895915"/>
    <w:rsid w:val="008960B3"/>
    <w:rsid w:val="00896927"/>
    <w:rsid w:val="0089713A"/>
    <w:rsid w:val="00897B1A"/>
    <w:rsid w:val="008A048E"/>
    <w:rsid w:val="008A052B"/>
    <w:rsid w:val="008A0BD4"/>
    <w:rsid w:val="008A19CE"/>
    <w:rsid w:val="008A2533"/>
    <w:rsid w:val="008A27FF"/>
    <w:rsid w:val="008A348B"/>
    <w:rsid w:val="008A36BB"/>
    <w:rsid w:val="008A3978"/>
    <w:rsid w:val="008A477C"/>
    <w:rsid w:val="008A4F0A"/>
    <w:rsid w:val="008A5918"/>
    <w:rsid w:val="008A5AEB"/>
    <w:rsid w:val="008A5EF7"/>
    <w:rsid w:val="008A64C1"/>
    <w:rsid w:val="008A697E"/>
    <w:rsid w:val="008A753F"/>
    <w:rsid w:val="008A75FF"/>
    <w:rsid w:val="008B0918"/>
    <w:rsid w:val="008B179E"/>
    <w:rsid w:val="008B3454"/>
    <w:rsid w:val="008B3BD8"/>
    <w:rsid w:val="008B3CF0"/>
    <w:rsid w:val="008B3DD3"/>
    <w:rsid w:val="008B42F8"/>
    <w:rsid w:val="008B5B2A"/>
    <w:rsid w:val="008B6994"/>
    <w:rsid w:val="008B6CD2"/>
    <w:rsid w:val="008B71DA"/>
    <w:rsid w:val="008C0B01"/>
    <w:rsid w:val="008C0C52"/>
    <w:rsid w:val="008C108D"/>
    <w:rsid w:val="008C1449"/>
    <w:rsid w:val="008C1FFB"/>
    <w:rsid w:val="008C2802"/>
    <w:rsid w:val="008C2881"/>
    <w:rsid w:val="008C37E6"/>
    <w:rsid w:val="008C48B6"/>
    <w:rsid w:val="008C4E4B"/>
    <w:rsid w:val="008C5235"/>
    <w:rsid w:val="008C54AB"/>
    <w:rsid w:val="008C588F"/>
    <w:rsid w:val="008C6176"/>
    <w:rsid w:val="008C6208"/>
    <w:rsid w:val="008C67EF"/>
    <w:rsid w:val="008C6835"/>
    <w:rsid w:val="008C6C78"/>
    <w:rsid w:val="008C6FD3"/>
    <w:rsid w:val="008C707D"/>
    <w:rsid w:val="008C77FB"/>
    <w:rsid w:val="008C7F54"/>
    <w:rsid w:val="008C7F62"/>
    <w:rsid w:val="008D0916"/>
    <w:rsid w:val="008D1D1A"/>
    <w:rsid w:val="008D32B8"/>
    <w:rsid w:val="008D365C"/>
    <w:rsid w:val="008D4952"/>
    <w:rsid w:val="008D4C1F"/>
    <w:rsid w:val="008D58AA"/>
    <w:rsid w:val="008D595C"/>
    <w:rsid w:val="008D59E6"/>
    <w:rsid w:val="008D5AA9"/>
    <w:rsid w:val="008D5E62"/>
    <w:rsid w:val="008D63C5"/>
    <w:rsid w:val="008D67CF"/>
    <w:rsid w:val="008D7649"/>
    <w:rsid w:val="008E0D8A"/>
    <w:rsid w:val="008E1522"/>
    <w:rsid w:val="008E176F"/>
    <w:rsid w:val="008E1AE8"/>
    <w:rsid w:val="008E212B"/>
    <w:rsid w:val="008E378E"/>
    <w:rsid w:val="008E3D46"/>
    <w:rsid w:val="008E4067"/>
    <w:rsid w:val="008E4173"/>
    <w:rsid w:val="008E6246"/>
    <w:rsid w:val="008E71B7"/>
    <w:rsid w:val="008F0C5E"/>
    <w:rsid w:val="008F122C"/>
    <w:rsid w:val="008F1F7B"/>
    <w:rsid w:val="008F21A1"/>
    <w:rsid w:val="008F269B"/>
    <w:rsid w:val="008F29A5"/>
    <w:rsid w:val="008F2B01"/>
    <w:rsid w:val="008F2B9B"/>
    <w:rsid w:val="008F2C02"/>
    <w:rsid w:val="008F2F1B"/>
    <w:rsid w:val="008F303B"/>
    <w:rsid w:val="008F3E38"/>
    <w:rsid w:val="008F4ABB"/>
    <w:rsid w:val="008F4B08"/>
    <w:rsid w:val="008F4C26"/>
    <w:rsid w:val="008F573D"/>
    <w:rsid w:val="008F615B"/>
    <w:rsid w:val="008F7053"/>
    <w:rsid w:val="008F757E"/>
    <w:rsid w:val="008F7DE5"/>
    <w:rsid w:val="00901AC0"/>
    <w:rsid w:val="0090250A"/>
    <w:rsid w:val="00902CD2"/>
    <w:rsid w:val="00903270"/>
    <w:rsid w:val="009033FC"/>
    <w:rsid w:val="00903DFF"/>
    <w:rsid w:val="00905300"/>
    <w:rsid w:val="00905741"/>
    <w:rsid w:val="00907B51"/>
    <w:rsid w:val="00907DA2"/>
    <w:rsid w:val="00910E99"/>
    <w:rsid w:val="00910F94"/>
    <w:rsid w:val="009117A3"/>
    <w:rsid w:val="00911A7F"/>
    <w:rsid w:val="009123C4"/>
    <w:rsid w:val="00912E02"/>
    <w:rsid w:val="0091319E"/>
    <w:rsid w:val="00913BE0"/>
    <w:rsid w:val="00913EA0"/>
    <w:rsid w:val="00913F5A"/>
    <w:rsid w:val="00914F15"/>
    <w:rsid w:val="009167CD"/>
    <w:rsid w:val="00917506"/>
    <w:rsid w:val="00917D29"/>
    <w:rsid w:val="009209CE"/>
    <w:rsid w:val="00920A46"/>
    <w:rsid w:val="00920A5D"/>
    <w:rsid w:val="00920D54"/>
    <w:rsid w:val="00921242"/>
    <w:rsid w:val="009215E5"/>
    <w:rsid w:val="00922057"/>
    <w:rsid w:val="0092288C"/>
    <w:rsid w:val="00922FEE"/>
    <w:rsid w:val="009236BB"/>
    <w:rsid w:val="009236BD"/>
    <w:rsid w:val="00924C8F"/>
    <w:rsid w:val="00924CD9"/>
    <w:rsid w:val="0092542F"/>
    <w:rsid w:val="0092543F"/>
    <w:rsid w:val="00925C50"/>
    <w:rsid w:val="00926DC5"/>
    <w:rsid w:val="00926F1B"/>
    <w:rsid w:val="009274E8"/>
    <w:rsid w:val="00927570"/>
    <w:rsid w:val="00927A73"/>
    <w:rsid w:val="00927BC2"/>
    <w:rsid w:val="009300A3"/>
    <w:rsid w:val="00930313"/>
    <w:rsid w:val="0093065B"/>
    <w:rsid w:val="00931A1D"/>
    <w:rsid w:val="009322FC"/>
    <w:rsid w:val="00932610"/>
    <w:rsid w:val="009326C4"/>
    <w:rsid w:val="00932D69"/>
    <w:rsid w:val="0093392A"/>
    <w:rsid w:val="009344C1"/>
    <w:rsid w:val="00934518"/>
    <w:rsid w:val="00934BDB"/>
    <w:rsid w:val="00936118"/>
    <w:rsid w:val="00936544"/>
    <w:rsid w:val="00936FE3"/>
    <w:rsid w:val="009375ED"/>
    <w:rsid w:val="00937823"/>
    <w:rsid w:val="00937BF1"/>
    <w:rsid w:val="00937D79"/>
    <w:rsid w:val="00937EDF"/>
    <w:rsid w:val="00937F03"/>
    <w:rsid w:val="0094038C"/>
    <w:rsid w:val="00940D27"/>
    <w:rsid w:val="00941D19"/>
    <w:rsid w:val="00943693"/>
    <w:rsid w:val="0094388F"/>
    <w:rsid w:val="00943CAC"/>
    <w:rsid w:val="00943CB2"/>
    <w:rsid w:val="009444C5"/>
    <w:rsid w:val="00944932"/>
    <w:rsid w:val="00944E2D"/>
    <w:rsid w:val="00944EFE"/>
    <w:rsid w:val="00946A1D"/>
    <w:rsid w:val="00947647"/>
    <w:rsid w:val="00947A7F"/>
    <w:rsid w:val="00947DA1"/>
    <w:rsid w:val="00950F2B"/>
    <w:rsid w:val="009513BB"/>
    <w:rsid w:val="00951EB8"/>
    <w:rsid w:val="00951EBD"/>
    <w:rsid w:val="0095401F"/>
    <w:rsid w:val="0095419A"/>
    <w:rsid w:val="009542D7"/>
    <w:rsid w:val="00954A09"/>
    <w:rsid w:val="0095503D"/>
    <w:rsid w:val="00955406"/>
    <w:rsid w:val="009562CC"/>
    <w:rsid w:val="009566D7"/>
    <w:rsid w:val="0095714B"/>
    <w:rsid w:val="009578C8"/>
    <w:rsid w:val="00957CC5"/>
    <w:rsid w:val="00957DD2"/>
    <w:rsid w:val="009602F4"/>
    <w:rsid w:val="009603EA"/>
    <w:rsid w:val="00961A95"/>
    <w:rsid w:val="00962732"/>
    <w:rsid w:val="00962937"/>
    <w:rsid w:val="0096295A"/>
    <w:rsid w:val="00962F29"/>
    <w:rsid w:val="009630DD"/>
    <w:rsid w:val="00963195"/>
    <w:rsid w:val="009633EE"/>
    <w:rsid w:val="00964289"/>
    <w:rsid w:val="00964CD6"/>
    <w:rsid w:val="009650AF"/>
    <w:rsid w:val="00965ECD"/>
    <w:rsid w:val="00965F76"/>
    <w:rsid w:val="009660F5"/>
    <w:rsid w:val="00966917"/>
    <w:rsid w:val="00967101"/>
    <w:rsid w:val="009672C2"/>
    <w:rsid w:val="009705E2"/>
    <w:rsid w:val="0097115D"/>
    <w:rsid w:val="009712B8"/>
    <w:rsid w:val="009714D2"/>
    <w:rsid w:val="009716CB"/>
    <w:rsid w:val="00971E6C"/>
    <w:rsid w:val="00973044"/>
    <w:rsid w:val="0097318A"/>
    <w:rsid w:val="00973318"/>
    <w:rsid w:val="0097384F"/>
    <w:rsid w:val="00973C8E"/>
    <w:rsid w:val="00973EC4"/>
    <w:rsid w:val="0097400D"/>
    <w:rsid w:val="00974B96"/>
    <w:rsid w:val="00974CBF"/>
    <w:rsid w:val="00975016"/>
    <w:rsid w:val="00975CDA"/>
    <w:rsid w:val="0097666D"/>
    <w:rsid w:val="00976FE9"/>
    <w:rsid w:val="00977788"/>
    <w:rsid w:val="00977B5E"/>
    <w:rsid w:val="00980E1D"/>
    <w:rsid w:val="00981B31"/>
    <w:rsid w:val="009821C2"/>
    <w:rsid w:val="00982AAC"/>
    <w:rsid w:val="00982DFE"/>
    <w:rsid w:val="0098394C"/>
    <w:rsid w:val="00983E4E"/>
    <w:rsid w:val="00983EEA"/>
    <w:rsid w:val="009852C0"/>
    <w:rsid w:val="0098539E"/>
    <w:rsid w:val="00985431"/>
    <w:rsid w:val="009857DB"/>
    <w:rsid w:val="00987738"/>
    <w:rsid w:val="00990A58"/>
    <w:rsid w:val="0099157D"/>
    <w:rsid w:val="00991F9E"/>
    <w:rsid w:val="00993EB6"/>
    <w:rsid w:val="009944C5"/>
    <w:rsid w:val="00994A0D"/>
    <w:rsid w:val="0099513D"/>
    <w:rsid w:val="0099579A"/>
    <w:rsid w:val="00995EAD"/>
    <w:rsid w:val="00996689"/>
    <w:rsid w:val="009978FB"/>
    <w:rsid w:val="009979BF"/>
    <w:rsid w:val="009A015B"/>
    <w:rsid w:val="009A1C35"/>
    <w:rsid w:val="009A32CE"/>
    <w:rsid w:val="009A345B"/>
    <w:rsid w:val="009A357A"/>
    <w:rsid w:val="009A4341"/>
    <w:rsid w:val="009A44B6"/>
    <w:rsid w:val="009A4875"/>
    <w:rsid w:val="009A496C"/>
    <w:rsid w:val="009A5111"/>
    <w:rsid w:val="009A5FF5"/>
    <w:rsid w:val="009B01FD"/>
    <w:rsid w:val="009B0468"/>
    <w:rsid w:val="009B12FE"/>
    <w:rsid w:val="009B2C78"/>
    <w:rsid w:val="009B2D74"/>
    <w:rsid w:val="009B3125"/>
    <w:rsid w:val="009B32B1"/>
    <w:rsid w:val="009B33DD"/>
    <w:rsid w:val="009B3FC9"/>
    <w:rsid w:val="009B4280"/>
    <w:rsid w:val="009B525F"/>
    <w:rsid w:val="009B550E"/>
    <w:rsid w:val="009B573E"/>
    <w:rsid w:val="009B6630"/>
    <w:rsid w:val="009B6A71"/>
    <w:rsid w:val="009B6B6A"/>
    <w:rsid w:val="009B70FC"/>
    <w:rsid w:val="009B73EA"/>
    <w:rsid w:val="009C04DE"/>
    <w:rsid w:val="009C167C"/>
    <w:rsid w:val="009C1B20"/>
    <w:rsid w:val="009C26EB"/>
    <w:rsid w:val="009C29ED"/>
    <w:rsid w:val="009C3267"/>
    <w:rsid w:val="009C3722"/>
    <w:rsid w:val="009C39F6"/>
    <w:rsid w:val="009C3B54"/>
    <w:rsid w:val="009C41B3"/>
    <w:rsid w:val="009C4CF6"/>
    <w:rsid w:val="009C4DEA"/>
    <w:rsid w:val="009C58DD"/>
    <w:rsid w:val="009C5E27"/>
    <w:rsid w:val="009C6029"/>
    <w:rsid w:val="009C751E"/>
    <w:rsid w:val="009C7B23"/>
    <w:rsid w:val="009C7F3E"/>
    <w:rsid w:val="009D06F8"/>
    <w:rsid w:val="009D0700"/>
    <w:rsid w:val="009D0D66"/>
    <w:rsid w:val="009D0FFD"/>
    <w:rsid w:val="009D1248"/>
    <w:rsid w:val="009D170E"/>
    <w:rsid w:val="009D221A"/>
    <w:rsid w:val="009D2263"/>
    <w:rsid w:val="009D266D"/>
    <w:rsid w:val="009D3011"/>
    <w:rsid w:val="009D40C1"/>
    <w:rsid w:val="009D4506"/>
    <w:rsid w:val="009D452F"/>
    <w:rsid w:val="009D50CE"/>
    <w:rsid w:val="009D56AA"/>
    <w:rsid w:val="009D5C10"/>
    <w:rsid w:val="009D5E8D"/>
    <w:rsid w:val="009D6A12"/>
    <w:rsid w:val="009D6BD2"/>
    <w:rsid w:val="009D6D77"/>
    <w:rsid w:val="009D7455"/>
    <w:rsid w:val="009D7E80"/>
    <w:rsid w:val="009E02CA"/>
    <w:rsid w:val="009E0526"/>
    <w:rsid w:val="009E05CA"/>
    <w:rsid w:val="009E0A91"/>
    <w:rsid w:val="009E0F60"/>
    <w:rsid w:val="009E1250"/>
    <w:rsid w:val="009E2FD9"/>
    <w:rsid w:val="009E474D"/>
    <w:rsid w:val="009E4FDC"/>
    <w:rsid w:val="009E6DD9"/>
    <w:rsid w:val="009E72B1"/>
    <w:rsid w:val="009E7ECB"/>
    <w:rsid w:val="009F1275"/>
    <w:rsid w:val="009F1741"/>
    <w:rsid w:val="009F17DE"/>
    <w:rsid w:val="009F1E35"/>
    <w:rsid w:val="009F264F"/>
    <w:rsid w:val="009F2F49"/>
    <w:rsid w:val="009F37E6"/>
    <w:rsid w:val="009F4282"/>
    <w:rsid w:val="009F43B7"/>
    <w:rsid w:val="009F4DD0"/>
    <w:rsid w:val="009F51E4"/>
    <w:rsid w:val="009F525C"/>
    <w:rsid w:val="009F5285"/>
    <w:rsid w:val="009F5B15"/>
    <w:rsid w:val="009F5E81"/>
    <w:rsid w:val="009F6488"/>
    <w:rsid w:val="009F71FB"/>
    <w:rsid w:val="009F7D3F"/>
    <w:rsid w:val="009F7D5D"/>
    <w:rsid w:val="009F7DFD"/>
    <w:rsid w:val="00A00632"/>
    <w:rsid w:val="00A00D2D"/>
    <w:rsid w:val="00A012E3"/>
    <w:rsid w:val="00A01380"/>
    <w:rsid w:val="00A01705"/>
    <w:rsid w:val="00A01EBD"/>
    <w:rsid w:val="00A02EFC"/>
    <w:rsid w:val="00A02F48"/>
    <w:rsid w:val="00A03340"/>
    <w:rsid w:val="00A0377B"/>
    <w:rsid w:val="00A04185"/>
    <w:rsid w:val="00A04DE9"/>
    <w:rsid w:val="00A05176"/>
    <w:rsid w:val="00A05CD5"/>
    <w:rsid w:val="00A0603F"/>
    <w:rsid w:val="00A0646F"/>
    <w:rsid w:val="00A06BA1"/>
    <w:rsid w:val="00A07134"/>
    <w:rsid w:val="00A07AD9"/>
    <w:rsid w:val="00A07E47"/>
    <w:rsid w:val="00A1058A"/>
    <w:rsid w:val="00A107B8"/>
    <w:rsid w:val="00A10F16"/>
    <w:rsid w:val="00A1187A"/>
    <w:rsid w:val="00A11CC3"/>
    <w:rsid w:val="00A128F5"/>
    <w:rsid w:val="00A1305D"/>
    <w:rsid w:val="00A13339"/>
    <w:rsid w:val="00A13868"/>
    <w:rsid w:val="00A13934"/>
    <w:rsid w:val="00A14648"/>
    <w:rsid w:val="00A146EE"/>
    <w:rsid w:val="00A14908"/>
    <w:rsid w:val="00A1519C"/>
    <w:rsid w:val="00A15420"/>
    <w:rsid w:val="00A157A3"/>
    <w:rsid w:val="00A15EAA"/>
    <w:rsid w:val="00A1667C"/>
    <w:rsid w:val="00A1693F"/>
    <w:rsid w:val="00A16A3D"/>
    <w:rsid w:val="00A16ADF"/>
    <w:rsid w:val="00A16CE0"/>
    <w:rsid w:val="00A1724A"/>
    <w:rsid w:val="00A21461"/>
    <w:rsid w:val="00A21D5A"/>
    <w:rsid w:val="00A232D8"/>
    <w:rsid w:val="00A24526"/>
    <w:rsid w:val="00A24DD0"/>
    <w:rsid w:val="00A24F9A"/>
    <w:rsid w:val="00A24FA0"/>
    <w:rsid w:val="00A252C5"/>
    <w:rsid w:val="00A257DB"/>
    <w:rsid w:val="00A25B9A"/>
    <w:rsid w:val="00A25CFA"/>
    <w:rsid w:val="00A25DD3"/>
    <w:rsid w:val="00A25E91"/>
    <w:rsid w:val="00A26034"/>
    <w:rsid w:val="00A265A7"/>
    <w:rsid w:val="00A26BBD"/>
    <w:rsid w:val="00A26C50"/>
    <w:rsid w:val="00A274A2"/>
    <w:rsid w:val="00A27610"/>
    <w:rsid w:val="00A300D2"/>
    <w:rsid w:val="00A305B5"/>
    <w:rsid w:val="00A30810"/>
    <w:rsid w:val="00A310C3"/>
    <w:rsid w:val="00A312CE"/>
    <w:rsid w:val="00A315C6"/>
    <w:rsid w:val="00A33B8A"/>
    <w:rsid w:val="00A34539"/>
    <w:rsid w:val="00A34A0D"/>
    <w:rsid w:val="00A34A14"/>
    <w:rsid w:val="00A34D94"/>
    <w:rsid w:val="00A35AB2"/>
    <w:rsid w:val="00A35EF7"/>
    <w:rsid w:val="00A36374"/>
    <w:rsid w:val="00A36AE6"/>
    <w:rsid w:val="00A37214"/>
    <w:rsid w:val="00A406F0"/>
    <w:rsid w:val="00A41465"/>
    <w:rsid w:val="00A41593"/>
    <w:rsid w:val="00A43452"/>
    <w:rsid w:val="00A43987"/>
    <w:rsid w:val="00A43D21"/>
    <w:rsid w:val="00A44406"/>
    <w:rsid w:val="00A44A06"/>
    <w:rsid w:val="00A44E27"/>
    <w:rsid w:val="00A454E7"/>
    <w:rsid w:val="00A46190"/>
    <w:rsid w:val="00A46BBA"/>
    <w:rsid w:val="00A473A8"/>
    <w:rsid w:val="00A4770B"/>
    <w:rsid w:val="00A47D2C"/>
    <w:rsid w:val="00A506F1"/>
    <w:rsid w:val="00A50C9F"/>
    <w:rsid w:val="00A511EC"/>
    <w:rsid w:val="00A5170B"/>
    <w:rsid w:val="00A51C6C"/>
    <w:rsid w:val="00A5211D"/>
    <w:rsid w:val="00A5219F"/>
    <w:rsid w:val="00A52267"/>
    <w:rsid w:val="00A529B9"/>
    <w:rsid w:val="00A52C5B"/>
    <w:rsid w:val="00A52DA4"/>
    <w:rsid w:val="00A52E0B"/>
    <w:rsid w:val="00A53363"/>
    <w:rsid w:val="00A533C1"/>
    <w:rsid w:val="00A53850"/>
    <w:rsid w:val="00A53D92"/>
    <w:rsid w:val="00A543CE"/>
    <w:rsid w:val="00A55079"/>
    <w:rsid w:val="00A55093"/>
    <w:rsid w:val="00A55F62"/>
    <w:rsid w:val="00A5627A"/>
    <w:rsid w:val="00A56812"/>
    <w:rsid w:val="00A60243"/>
    <w:rsid w:val="00A6093A"/>
    <w:rsid w:val="00A62248"/>
    <w:rsid w:val="00A626FA"/>
    <w:rsid w:val="00A62FF0"/>
    <w:rsid w:val="00A6372B"/>
    <w:rsid w:val="00A64905"/>
    <w:rsid w:val="00A64A26"/>
    <w:rsid w:val="00A64A30"/>
    <w:rsid w:val="00A652EF"/>
    <w:rsid w:val="00A65826"/>
    <w:rsid w:val="00A65E17"/>
    <w:rsid w:val="00A66979"/>
    <w:rsid w:val="00A66ACB"/>
    <w:rsid w:val="00A66E08"/>
    <w:rsid w:val="00A67DFE"/>
    <w:rsid w:val="00A71CCF"/>
    <w:rsid w:val="00A72C98"/>
    <w:rsid w:val="00A74498"/>
    <w:rsid w:val="00A744E5"/>
    <w:rsid w:val="00A75A2F"/>
    <w:rsid w:val="00A75FDA"/>
    <w:rsid w:val="00A760F8"/>
    <w:rsid w:val="00A763E6"/>
    <w:rsid w:val="00A77A6E"/>
    <w:rsid w:val="00A77C19"/>
    <w:rsid w:val="00A80083"/>
    <w:rsid w:val="00A8030B"/>
    <w:rsid w:val="00A81559"/>
    <w:rsid w:val="00A8158E"/>
    <w:rsid w:val="00A81872"/>
    <w:rsid w:val="00A81D7E"/>
    <w:rsid w:val="00A82882"/>
    <w:rsid w:val="00A8343D"/>
    <w:rsid w:val="00A83A1E"/>
    <w:rsid w:val="00A84DF4"/>
    <w:rsid w:val="00A85C65"/>
    <w:rsid w:val="00A8629A"/>
    <w:rsid w:val="00A870B3"/>
    <w:rsid w:val="00A87239"/>
    <w:rsid w:val="00A87C18"/>
    <w:rsid w:val="00A87F79"/>
    <w:rsid w:val="00A90008"/>
    <w:rsid w:val="00A904EB"/>
    <w:rsid w:val="00A90D98"/>
    <w:rsid w:val="00A91A62"/>
    <w:rsid w:val="00A9257D"/>
    <w:rsid w:val="00A92840"/>
    <w:rsid w:val="00A93ACE"/>
    <w:rsid w:val="00A94A74"/>
    <w:rsid w:val="00A9570F"/>
    <w:rsid w:val="00A9586C"/>
    <w:rsid w:val="00A962F3"/>
    <w:rsid w:val="00A96707"/>
    <w:rsid w:val="00A96E62"/>
    <w:rsid w:val="00A97944"/>
    <w:rsid w:val="00AA0156"/>
    <w:rsid w:val="00AA06FF"/>
    <w:rsid w:val="00AA086A"/>
    <w:rsid w:val="00AA08D7"/>
    <w:rsid w:val="00AA0963"/>
    <w:rsid w:val="00AA0A1B"/>
    <w:rsid w:val="00AA1806"/>
    <w:rsid w:val="00AA1F6B"/>
    <w:rsid w:val="00AA20DC"/>
    <w:rsid w:val="00AA2C48"/>
    <w:rsid w:val="00AA3C39"/>
    <w:rsid w:val="00AA3F3E"/>
    <w:rsid w:val="00AA5675"/>
    <w:rsid w:val="00AA5FFE"/>
    <w:rsid w:val="00AA6116"/>
    <w:rsid w:val="00AA61BC"/>
    <w:rsid w:val="00AA638F"/>
    <w:rsid w:val="00AA69D4"/>
    <w:rsid w:val="00AB0581"/>
    <w:rsid w:val="00AB0625"/>
    <w:rsid w:val="00AB1061"/>
    <w:rsid w:val="00AB1A27"/>
    <w:rsid w:val="00AB35AC"/>
    <w:rsid w:val="00AB3A78"/>
    <w:rsid w:val="00AB3FFA"/>
    <w:rsid w:val="00AB40CA"/>
    <w:rsid w:val="00AB414F"/>
    <w:rsid w:val="00AB48D5"/>
    <w:rsid w:val="00AB685C"/>
    <w:rsid w:val="00AB767B"/>
    <w:rsid w:val="00AB7764"/>
    <w:rsid w:val="00AC038B"/>
    <w:rsid w:val="00AC0F08"/>
    <w:rsid w:val="00AC1635"/>
    <w:rsid w:val="00AC1D01"/>
    <w:rsid w:val="00AC22C4"/>
    <w:rsid w:val="00AC2A3A"/>
    <w:rsid w:val="00AC4340"/>
    <w:rsid w:val="00AC491D"/>
    <w:rsid w:val="00AC539E"/>
    <w:rsid w:val="00AC58DF"/>
    <w:rsid w:val="00AC5FD4"/>
    <w:rsid w:val="00AC6352"/>
    <w:rsid w:val="00AC6357"/>
    <w:rsid w:val="00AC6C68"/>
    <w:rsid w:val="00AC6EFE"/>
    <w:rsid w:val="00AC7A1A"/>
    <w:rsid w:val="00AD02E9"/>
    <w:rsid w:val="00AD0540"/>
    <w:rsid w:val="00AD06DF"/>
    <w:rsid w:val="00AD2298"/>
    <w:rsid w:val="00AD23E2"/>
    <w:rsid w:val="00AD2F50"/>
    <w:rsid w:val="00AD32EB"/>
    <w:rsid w:val="00AD3DC7"/>
    <w:rsid w:val="00AD4FB5"/>
    <w:rsid w:val="00AD4FD3"/>
    <w:rsid w:val="00AD5015"/>
    <w:rsid w:val="00AD508B"/>
    <w:rsid w:val="00AD5B01"/>
    <w:rsid w:val="00AD5B98"/>
    <w:rsid w:val="00AD63BB"/>
    <w:rsid w:val="00AD6BC8"/>
    <w:rsid w:val="00AD6D3A"/>
    <w:rsid w:val="00AD718F"/>
    <w:rsid w:val="00AE0119"/>
    <w:rsid w:val="00AE0C51"/>
    <w:rsid w:val="00AE0CF2"/>
    <w:rsid w:val="00AE115B"/>
    <w:rsid w:val="00AE1F1C"/>
    <w:rsid w:val="00AE2061"/>
    <w:rsid w:val="00AE2163"/>
    <w:rsid w:val="00AE2507"/>
    <w:rsid w:val="00AE27DC"/>
    <w:rsid w:val="00AE2F2E"/>
    <w:rsid w:val="00AE30CB"/>
    <w:rsid w:val="00AE4F9E"/>
    <w:rsid w:val="00AE504F"/>
    <w:rsid w:val="00AE51E5"/>
    <w:rsid w:val="00AE57EF"/>
    <w:rsid w:val="00AE63EF"/>
    <w:rsid w:val="00AE68FB"/>
    <w:rsid w:val="00AE693F"/>
    <w:rsid w:val="00AE6D0B"/>
    <w:rsid w:val="00AE72FE"/>
    <w:rsid w:val="00AE7858"/>
    <w:rsid w:val="00AE7932"/>
    <w:rsid w:val="00AE7AC9"/>
    <w:rsid w:val="00AE7C76"/>
    <w:rsid w:val="00AE7DA7"/>
    <w:rsid w:val="00AF1638"/>
    <w:rsid w:val="00AF1643"/>
    <w:rsid w:val="00AF17D5"/>
    <w:rsid w:val="00AF3862"/>
    <w:rsid w:val="00AF3D2D"/>
    <w:rsid w:val="00AF3D99"/>
    <w:rsid w:val="00AF5076"/>
    <w:rsid w:val="00AF595B"/>
    <w:rsid w:val="00AF6741"/>
    <w:rsid w:val="00AF6EEF"/>
    <w:rsid w:val="00AF7184"/>
    <w:rsid w:val="00AF7A71"/>
    <w:rsid w:val="00B012D6"/>
    <w:rsid w:val="00B0153E"/>
    <w:rsid w:val="00B01B34"/>
    <w:rsid w:val="00B01FD6"/>
    <w:rsid w:val="00B02D4F"/>
    <w:rsid w:val="00B03FF1"/>
    <w:rsid w:val="00B045F4"/>
    <w:rsid w:val="00B04D86"/>
    <w:rsid w:val="00B054B6"/>
    <w:rsid w:val="00B058E7"/>
    <w:rsid w:val="00B05982"/>
    <w:rsid w:val="00B05C55"/>
    <w:rsid w:val="00B05D0F"/>
    <w:rsid w:val="00B06068"/>
    <w:rsid w:val="00B06EB5"/>
    <w:rsid w:val="00B078C5"/>
    <w:rsid w:val="00B07B38"/>
    <w:rsid w:val="00B07E32"/>
    <w:rsid w:val="00B10318"/>
    <w:rsid w:val="00B10651"/>
    <w:rsid w:val="00B10683"/>
    <w:rsid w:val="00B11143"/>
    <w:rsid w:val="00B120B2"/>
    <w:rsid w:val="00B1355B"/>
    <w:rsid w:val="00B13DBF"/>
    <w:rsid w:val="00B14064"/>
    <w:rsid w:val="00B14077"/>
    <w:rsid w:val="00B14A2C"/>
    <w:rsid w:val="00B15DC8"/>
    <w:rsid w:val="00B15F24"/>
    <w:rsid w:val="00B162AA"/>
    <w:rsid w:val="00B16A17"/>
    <w:rsid w:val="00B16E81"/>
    <w:rsid w:val="00B17CFD"/>
    <w:rsid w:val="00B17FC9"/>
    <w:rsid w:val="00B20319"/>
    <w:rsid w:val="00B20A92"/>
    <w:rsid w:val="00B20FFB"/>
    <w:rsid w:val="00B21435"/>
    <w:rsid w:val="00B21572"/>
    <w:rsid w:val="00B21E91"/>
    <w:rsid w:val="00B225F1"/>
    <w:rsid w:val="00B22B66"/>
    <w:rsid w:val="00B23992"/>
    <w:rsid w:val="00B2504D"/>
    <w:rsid w:val="00B2561E"/>
    <w:rsid w:val="00B26276"/>
    <w:rsid w:val="00B26302"/>
    <w:rsid w:val="00B3113B"/>
    <w:rsid w:val="00B3136E"/>
    <w:rsid w:val="00B316B4"/>
    <w:rsid w:val="00B31988"/>
    <w:rsid w:val="00B3220D"/>
    <w:rsid w:val="00B34329"/>
    <w:rsid w:val="00B34645"/>
    <w:rsid w:val="00B353FC"/>
    <w:rsid w:val="00B35D87"/>
    <w:rsid w:val="00B3658F"/>
    <w:rsid w:val="00B366D8"/>
    <w:rsid w:val="00B372D9"/>
    <w:rsid w:val="00B4031B"/>
    <w:rsid w:val="00B404A9"/>
    <w:rsid w:val="00B410AC"/>
    <w:rsid w:val="00B41381"/>
    <w:rsid w:val="00B414DB"/>
    <w:rsid w:val="00B418FD"/>
    <w:rsid w:val="00B41DAE"/>
    <w:rsid w:val="00B426F4"/>
    <w:rsid w:val="00B433F4"/>
    <w:rsid w:val="00B4341A"/>
    <w:rsid w:val="00B43621"/>
    <w:rsid w:val="00B43B88"/>
    <w:rsid w:val="00B43CF5"/>
    <w:rsid w:val="00B43D86"/>
    <w:rsid w:val="00B43EF0"/>
    <w:rsid w:val="00B4551F"/>
    <w:rsid w:val="00B460B1"/>
    <w:rsid w:val="00B4629B"/>
    <w:rsid w:val="00B46639"/>
    <w:rsid w:val="00B467F3"/>
    <w:rsid w:val="00B46B06"/>
    <w:rsid w:val="00B47435"/>
    <w:rsid w:val="00B4755A"/>
    <w:rsid w:val="00B4756A"/>
    <w:rsid w:val="00B47879"/>
    <w:rsid w:val="00B47D2A"/>
    <w:rsid w:val="00B504F4"/>
    <w:rsid w:val="00B511CC"/>
    <w:rsid w:val="00B51707"/>
    <w:rsid w:val="00B524A1"/>
    <w:rsid w:val="00B5290F"/>
    <w:rsid w:val="00B5293F"/>
    <w:rsid w:val="00B53650"/>
    <w:rsid w:val="00B5369D"/>
    <w:rsid w:val="00B53997"/>
    <w:rsid w:val="00B54330"/>
    <w:rsid w:val="00B5489B"/>
    <w:rsid w:val="00B54E0A"/>
    <w:rsid w:val="00B555F9"/>
    <w:rsid w:val="00B55E26"/>
    <w:rsid w:val="00B56729"/>
    <w:rsid w:val="00B567E8"/>
    <w:rsid w:val="00B57ECD"/>
    <w:rsid w:val="00B600D6"/>
    <w:rsid w:val="00B60246"/>
    <w:rsid w:val="00B60658"/>
    <w:rsid w:val="00B62BB9"/>
    <w:rsid w:val="00B633A6"/>
    <w:rsid w:val="00B638AD"/>
    <w:rsid w:val="00B64737"/>
    <w:rsid w:val="00B64C5F"/>
    <w:rsid w:val="00B66116"/>
    <w:rsid w:val="00B67BB1"/>
    <w:rsid w:val="00B707E9"/>
    <w:rsid w:val="00B710B5"/>
    <w:rsid w:val="00B7159D"/>
    <w:rsid w:val="00B720E4"/>
    <w:rsid w:val="00B730E5"/>
    <w:rsid w:val="00B736EA"/>
    <w:rsid w:val="00B7466E"/>
    <w:rsid w:val="00B74A25"/>
    <w:rsid w:val="00B76667"/>
    <w:rsid w:val="00B76EE0"/>
    <w:rsid w:val="00B76EFC"/>
    <w:rsid w:val="00B77A68"/>
    <w:rsid w:val="00B77B2F"/>
    <w:rsid w:val="00B8046B"/>
    <w:rsid w:val="00B807B9"/>
    <w:rsid w:val="00B80D28"/>
    <w:rsid w:val="00B80E08"/>
    <w:rsid w:val="00B818CC"/>
    <w:rsid w:val="00B82514"/>
    <w:rsid w:val="00B82E5A"/>
    <w:rsid w:val="00B82F1D"/>
    <w:rsid w:val="00B8339F"/>
    <w:rsid w:val="00B83DC6"/>
    <w:rsid w:val="00B83EF0"/>
    <w:rsid w:val="00B84A0F"/>
    <w:rsid w:val="00B868C0"/>
    <w:rsid w:val="00B86E54"/>
    <w:rsid w:val="00B872A0"/>
    <w:rsid w:val="00B87840"/>
    <w:rsid w:val="00B87CF7"/>
    <w:rsid w:val="00B90068"/>
    <w:rsid w:val="00B91466"/>
    <w:rsid w:val="00B91750"/>
    <w:rsid w:val="00B91ECF"/>
    <w:rsid w:val="00B92B78"/>
    <w:rsid w:val="00B93225"/>
    <w:rsid w:val="00B93999"/>
    <w:rsid w:val="00B94357"/>
    <w:rsid w:val="00B9498F"/>
    <w:rsid w:val="00B94B30"/>
    <w:rsid w:val="00B94E8B"/>
    <w:rsid w:val="00B962B0"/>
    <w:rsid w:val="00B97802"/>
    <w:rsid w:val="00B97945"/>
    <w:rsid w:val="00B97D74"/>
    <w:rsid w:val="00BA006F"/>
    <w:rsid w:val="00BA0478"/>
    <w:rsid w:val="00BA17B3"/>
    <w:rsid w:val="00BA314A"/>
    <w:rsid w:val="00BA3830"/>
    <w:rsid w:val="00BA3DD4"/>
    <w:rsid w:val="00BA409A"/>
    <w:rsid w:val="00BA40C5"/>
    <w:rsid w:val="00BA441E"/>
    <w:rsid w:val="00BA4EB9"/>
    <w:rsid w:val="00BA568C"/>
    <w:rsid w:val="00BA62BE"/>
    <w:rsid w:val="00BA6869"/>
    <w:rsid w:val="00BA6D9E"/>
    <w:rsid w:val="00BA74E1"/>
    <w:rsid w:val="00BA79DE"/>
    <w:rsid w:val="00BB092A"/>
    <w:rsid w:val="00BB0A1E"/>
    <w:rsid w:val="00BB0AC8"/>
    <w:rsid w:val="00BB0D4E"/>
    <w:rsid w:val="00BB106D"/>
    <w:rsid w:val="00BB1588"/>
    <w:rsid w:val="00BB2CDC"/>
    <w:rsid w:val="00BB2D75"/>
    <w:rsid w:val="00BB2E38"/>
    <w:rsid w:val="00BB3445"/>
    <w:rsid w:val="00BB351E"/>
    <w:rsid w:val="00BB3C0F"/>
    <w:rsid w:val="00BB3CC3"/>
    <w:rsid w:val="00BB3D1E"/>
    <w:rsid w:val="00BB3FB1"/>
    <w:rsid w:val="00BB4492"/>
    <w:rsid w:val="00BB46AF"/>
    <w:rsid w:val="00BB491C"/>
    <w:rsid w:val="00BB4E1D"/>
    <w:rsid w:val="00BB5119"/>
    <w:rsid w:val="00BB5BE0"/>
    <w:rsid w:val="00BB5F4C"/>
    <w:rsid w:val="00BB7239"/>
    <w:rsid w:val="00BB7412"/>
    <w:rsid w:val="00BB7699"/>
    <w:rsid w:val="00BC04A6"/>
    <w:rsid w:val="00BC1A4B"/>
    <w:rsid w:val="00BC22C3"/>
    <w:rsid w:val="00BC27E7"/>
    <w:rsid w:val="00BC44E3"/>
    <w:rsid w:val="00BC4DBC"/>
    <w:rsid w:val="00BC58A9"/>
    <w:rsid w:val="00BC597F"/>
    <w:rsid w:val="00BC62D5"/>
    <w:rsid w:val="00BC641F"/>
    <w:rsid w:val="00BC6D44"/>
    <w:rsid w:val="00BD00E4"/>
    <w:rsid w:val="00BD02DE"/>
    <w:rsid w:val="00BD055C"/>
    <w:rsid w:val="00BD1206"/>
    <w:rsid w:val="00BD125F"/>
    <w:rsid w:val="00BD1313"/>
    <w:rsid w:val="00BD1A5C"/>
    <w:rsid w:val="00BD240A"/>
    <w:rsid w:val="00BD2A0D"/>
    <w:rsid w:val="00BD2B20"/>
    <w:rsid w:val="00BD30FD"/>
    <w:rsid w:val="00BD36BE"/>
    <w:rsid w:val="00BD3CCE"/>
    <w:rsid w:val="00BD5024"/>
    <w:rsid w:val="00BD6F6A"/>
    <w:rsid w:val="00BD7648"/>
    <w:rsid w:val="00BD77A0"/>
    <w:rsid w:val="00BD7D5D"/>
    <w:rsid w:val="00BD7E8A"/>
    <w:rsid w:val="00BE01BF"/>
    <w:rsid w:val="00BE0A23"/>
    <w:rsid w:val="00BE0D0D"/>
    <w:rsid w:val="00BE1036"/>
    <w:rsid w:val="00BE1702"/>
    <w:rsid w:val="00BE1961"/>
    <w:rsid w:val="00BE1AF1"/>
    <w:rsid w:val="00BE1DAE"/>
    <w:rsid w:val="00BE2361"/>
    <w:rsid w:val="00BE28E4"/>
    <w:rsid w:val="00BE4E43"/>
    <w:rsid w:val="00BE51B0"/>
    <w:rsid w:val="00BE5B9D"/>
    <w:rsid w:val="00BE60EF"/>
    <w:rsid w:val="00BE66CE"/>
    <w:rsid w:val="00BE7295"/>
    <w:rsid w:val="00BF0073"/>
    <w:rsid w:val="00BF037B"/>
    <w:rsid w:val="00BF0562"/>
    <w:rsid w:val="00BF23A8"/>
    <w:rsid w:val="00BF2ECB"/>
    <w:rsid w:val="00BF3804"/>
    <w:rsid w:val="00BF3B8C"/>
    <w:rsid w:val="00BF4F07"/>
    <w:rsid w:val="00BF50E8"/>
    <w:rsid w:val="00BF65AA"/>
    <w:rsid w:val="00BF7566"/>
    <w:rsid w:val="00BF7B64"/>
    <w:rsid w:val="00BF7E94"/>
    <w:rsid w:val="00C0001E"/>
    <w:rsid w:val="00C003C7"/>
    <w:rsid w:val="00C01428"/>
    <w:rsid w:val="00C01952"/>
    <w:rsid w:val="00C01D14"/>
    <w:rsid w:val="00C01EEA"/>
    <w:rsid w:val="00C02655"/>
    <w:rsid w:val="00C02BBF"/>
    <w:rsid w:val="00C0389A"/>
    <w:rsid w:val="00C04DFB"/>
    <w:rsid w:val="00C057F7"/>
    <w:rsid w:val="00C05BC1"/>
    <w:rsid w:val="00C05C7F"/>
    <w:rsid w:val="00C05D1B"/>
    <w:rsid w:val="00C05FCE"/>
    <w:rsid w:val="00C061AA"/>
    <w:rsid w:val="00C06EA2"/>
    <w:rsid w:val="00C10025"/>
    <w:rsid w:val="00C10202"/>
    <w:rsid w:val="00C10DF4"/>
    <w:rsid w:val="00C11655"/>
    <w:rsid w:val="00C120D4"/>
    <w:rsid w:val="00C12254"/>
    <w:rsid w:val="00C12257"/>
    <w:rsid w:val="00C1271D"/>
    <w:rsid w:val="00C12C38"/>
    <w:rsid w:val="00C1360C"/>
    <w:rsid w:val="00C13757"/>
    <w:rsid w:val="00C14134"/>
    <w:rsid w:val="00C14B96"/>
    <w:rsid w:val="00C16646"/>
    <w:rsid w:val="00C1698F"/>
    <w:rsid w:val="00C16BF8"/>
    <w:rsid w:val="00C16BFC"/>
    <w:rsid w:val="00C16FF2"/>
    <w:rsid w:val="00C175E2"/>
    <w:rsid w:val="00C17C3B"/>
    <w:rsid w:val="00C17DB6"/>
    <w:rsid w:val="00C17FF5"/>
    <w:rsid w:val="00C2009E"/>
    <w:rsid w:val="00C20293"/>
    <w:rsid w:val="00C203C4"/>
    <w:rsid w:val="00C204AD"/>
    <w:rsid w:val="00C206A6"/>
    <w:rsid w:val="00C2124E"/>
    <w:rsid w:val="00C21F5A"/>
    <w:rsid w:val="00C222D9"/>
    <w:rsid w:val="00C22E69"/>
    <w:rsid w:val="00C22EE0"/>
    <w:rsid w:val="00C2337E"/>
    <w:rsid w:val="00C25521"/>
    <w:rsid w:val="00C25A22"/>
    <w:rsid w:val="00C25A3C"/>
    <w:rsid w:val="00C265C0"/>
    <w:rsid w:val="00C27CA8"/>
    <w:rsid w:val="00C31048"/>
    <w:rsid w:val="00C316D0"/>
    <w:rsid w:val="00C31FEA"/>
    <w:rsid w:val="00C32183"/>
    <w:rsid w:val="00C324A2"/>
    <w:rsid w:val="00C32A70"/>
    <w:rsid w:val="00C334B6"/>
    <w:rsid w:val="00C33505"/>
    <w:rsid w:val="00C33569"/>
    <w:rsid w:val="00C33673"/>
    <w:rsid w:val="00C343FF"/>
    <w:rsid w:val="00C35949"/>
    <w:rsid w:val="00C36BBB"/>
    <w:rsid w:val="00C375E0"/>
    <w:rsid w:val="00C406B5"/>
    <w:rsid w:val="00C412CB"/>
    <w:rsid w:val="00C41A12"/>
    <w:rsid w:val="00C42064"/>
    <w:rsid w:val="00C427EF"/>
    <w:rsid w:val="00C429F9"/>
    <w:rsid w:val="00C43535"/>
    <w:rsid w:val="00C43DD3"/>
    <w:rsid w:val="00C44563"/>
    <w:rsid w:val="00C4464B"/>
    <w:rsid w:val="00C446D4"/>
    <w:rsid w:val="00C44CD1"/>
    <w:rsid w:val="00C4503C"/>
    <w:rsid w:val="00C451D1"/>
    <w:rsid w:val="00C452C1"/>
    <w:rsid w:val="00C457EA"/>
    <w:rsid w:val="00C5106F"/>
    <w:rsid w:val="00C51EC3"/>
    <w:rsid w:val="00C51F89"/>
    <w:rsid w:val="00C52393"/>
    <w:rsid w:val="00C531AC"/>
    <w:rsid w:val="00C53A3C"/>
    <w:rsid w:val="00C54566"/>
    <w:rsid w:val="00C54B08"/>
    <w:rsid w:val="00C55F22"/>
    <w:rsid w:val="00C56146"/>
    <w:rsid w:val="00C566C4"/>
    <w:rsid w:val="00C56B1B"/>
    <w:rsid w:val="00C572B7"/>
    <w:rsid w:val="00C578CE"/>
    <w:rsid w:val="00C57960"/>
    <w:rsid w:val="00C57D19"/>
    <w:rsid w:val="00C57DC4"/>
    <w:rsid w:val="00C605B3"/>
    <w:rsid w:val="00C61115"/>
    <w:rsid w:val="00C613E1"/>
    <w:rsid w:val="00C619A7"/>
    <w:rsid w:val="00C61DCA"/>
    <w:rsid w:val="00C62807"/>
    <w:rsid w:val="00C6419D"/>
    <w:rsid w:val="00C641D7"/>
    <w:rsid w:val="00C64595"/>
    <w:rsid w:val="00C64898"/>
    <w:rsid w:val="00C64D81"/>
    <w:rsid w:val="00C655A4"/>
    <w:rsid w:val="00C65DFE"/>
    <w:rsid w:val="00C65EB6"/>
    <w:rsid w:val="00C67133"/>
    <w:rsid w:val="00C67317"/>
    <w:rsid w:val="00C679D9"/>
    <w:rsid w:val="00C7015A"/>
    <w:rsid w:val="00C707F6"/>
    <w:rsid w:val="00C70C52"/>
    <w:rsid w:val="00C71004"/>
    <w:rsid w:val="00C712D4"/>
    <w:rsid w:val="00C7170B"/>
    <w:rsid w:val="00C71BBB"/>
    <w:rsid w:val="00C71EC1"/>
    <w:rsid w:val="00C724E9"/>
    <w:rsid w:val="00C731D3"/>
    <w:rsid w:val="00C735C6"/>
    <w:rsid w:val="00C738F4"/>
    <w:rsid w:val="00C749D1"/>
    <w:rsid w:val="00C74BE0"/>
    <w:rsid w:val="00C75322"/>
    <w:rsid w:val="00C75504"/>
    <w:rsid w:val="00C76303"/>
    <w:rsid w:val="00C76514"/>
    <w:rsid w:val="00C76A49"/>
    <w:rsid w:val="00C77480"/>
    <w:rsid w:val="00C77579"/>
    <w:rsid w:val="00C8033D"/>
    <w:rsid w:val="00C80CBA"/>
    <w:rsid w:val="00C81631"/>
    <w:rsid w:val="00C816E9"/>
    <w:rsid w:val="00C823F9"/>
    <w:rsid w:val="00C826B1"/>
    <w:rsid w:val="00C82784"/>
    <w:rsid w:val="00C82797"/>
    <w:rsid w:val="00C82839"/>
    <w:rsid w:val="00C82B7A"/>
    <w:rsid w:val="00C82D3F"/>
    <w:rsid w:val="00C83A15"/>
    <w:rsid w:val="00C83E6F"/>
    <w:rsid w:val="00C84AB0"/>
    <w:rsid w:val="00C84B1D"/>
    <w:rsid w:val="00C8588A"/>
    <w:rsid w:val="00C85E9E"/>
    <w:rsid w:val="00C8619B"/>
    <w:rsid w:val="00C864DC"/>
    <w:rsid w:val="00C868F7"/>
    <w:rsid w:val="00C86945"/>
    <w:rsid w:val="00C86B65"/>
    <w:rsid w:val="00C86D7D"/>
    <w:rsid w:val="00C86D9C"/>
    <w:rsid w:val="00C875B9"/>
    <w:rsid w:val="00C8773F"/>
    <w:rsid w:val="00C8783C"/>
    <w:rsid w:val="00C87935"/>
    <w:rsid w:val="00C87A67"/>
    <w:rsid w:val="00C90869"/>
    <w:rsid w:val="00C90DFF"/>
    <w:rsid w:val="00C91A73"/>
    <w:rsid w:val="00C92336"/>
    <w:rsid w:val="00C92E39"/>
    <w:rsid w:val="00C9430C"/>
    <w:rsid w:val="00C94385"/>
    <w:rsid w:val="00C9439D"/>
    <w:rsid w:val="00C945DE"/>
    <w:rsid w:val="00C946D4"/>
    <w:rsid w:val="00C9480C"/>
    <w:rsid w:val="00C94B8B"/>
    <w:rsid w:val="00C94BB2"/>
    <w:rsid w:val="00C955B3"/>
    <w:rsid w:val="00C96209"/>
    <w:rsid w:val="00C96BFD"/>
    <w:rsid w:val="00C96DE7"/>
    <w:rsid w:val="00C97073"/>
    <w:rsid w:val="00C970ED"/>
    <w:rsid w:val="00C9748C"/>
    <w:rsid w:val="00C9764A"/>
    <w:rsid w:val="00C97C42"/>
    <w:rsid w:val="00CA11D9"/>
    <w:rsid w:val="00CA12AA"/>
    <w:rsid w:val="00CA1BFD"/>
    <w:rsid w:val="00CA22AE"/>
    <w:rsid w:val="00CA2D9A"/>
    <w:rsid w:val="00CA335E"/>
    <w:rsid w:val="00CA3DB1"/>
    <w:rsid w:val="00CA533F"/>
    <w:rsid w:val="00CA53B9"/>
    <w:rsid w:val="00CA562E"/>
    <w:rsid w:val="00CA5690"/>
    <w:rsid w:val="00CA5B11"/>
    <w:rsid w:val="00CA6922"/>
    <w:rsid w:val="00CA6C90"/>
    <w:rsid w:val="00CA7640"/>
    <w:rsid w:val="00CA7BB6"/>
    <w:rsid w:val="00CB07B6"/>
    <w:rsid w:val="00CB1565"/>
    <w:rsid w:val="00CB255A"/>
    <w:rsid w:val="00CB263C"/>
    <w:rsid w:val="00CB2A27"/>
    <w:rsid w:val="00CB2B9D"/>
    <w:rsid w:val="00CB2D25"/>
    <w:rsid w:val="00CB3901"/>
    <w:rsid w:val="00CB3A69"/>
    <w:rsid w:val="00CB3B35"/>
    <w:rsid w:val="00CB3D97"/>
    <w:rsid w:val="00CB3E12"/>
    <w:rsid w:val="00CB4269"/>
    <w:rsid w:val="00CB4A33"/>
    <w:rsid w:val="00CB5357"/>
    <w:rsid w:val="00CB5517"/>
    <w:rsid w:val="00CB6652"/>
    <w:rsid w:val="00CB696E"/>
    <w:rsid w:val="00CB6FA7"/>
    <w:rsid w:val="00CB72C7"/>
    <w:rsid w:val="00CB731F"/>
    <w:rsid w:val="00CB779F"/>
    <w:rsid w:val="00CC0647"/>
    <w:rsid w:val="00CC094C"/>
    <w:rsid w:val="00CC095D"/>
    <w:rsid w:val="00CC11E0"/>
    <w:rsid w:val="00CC1FBA"/>
    <w:rsid w:val="00CC317D"/>
    <w:rsid w:val="00CC350C"/>
    <w:rsid w:val="00CC416E"/>
    <w:rsid w:val="00CC4C64"/>
    <w:rsid w:val="00CC511A"/>
    <w:rsid w:val="00CC5163"/>
    <w:rsid w:val="00CC5304"/>
    <w:rsid w:val="00CC5974"/>
    <w:rsid w:val="00CC5AFE"/>
    <w:rsid w:val="00CC6259"/>
    <w:rsid w:val="00CC6598"/>
    <w:rsid w:val="00CC6D0D"/>
    <w:rsid w:val="00CC7389"/>
    <w:rsid w:val="00CC7B9F"/>
    <w:rsid w:val="00CC7DF2"/>
    <w:rsid w:val="00CD075D"/>
    <w:rsid w:val="00CD0944"/>
    <w:rsid w:val="00CD0D4A"/>
    <w:rsid w:val="00CD0DDE"/>
    <w:rsid w:val="00CD17CC"/>
    <w:rsid w:val="00CD1DED"/>
    <w:rsid w:val="00CD2596"/>
    <w:rsid w:val="00CD2B8D"/>
    <w:rsid w:val="00CD2CCA"/>
    <w:rsid w:val="00CD355F"/>
    <w:rsid w:val="00CD4444"/>
    <w:rsid w:val="00CD488D"/>
    <w:rsid w:val="00CD5935"/>
    <w:rsid w:val="00CD5B33"/>
    <w:rsid w:val="00CD617F"/>
    <w:rsid w:val="00CD66C0"/>
    <w:rsid w:val="00CD67B1"/>
    <w:rsid w:val="00CD6E08"/>
    <w:rsid w:val="00CD7338"/>
    <w:rsid w:val="00CD74D6"/>
    <w:rsid w:val="00CE03D3"/>
    <w:rsid w:val="00CE0652"/>
    <w:rsid w:val="00CE0843"/>
    <w:rsid w:val="00CE0CB7"/>
    <w:rsid w:val="00CE14BE"/>
    <w:rsid w:val="00CE2F75"/>
    <w:rsid w:val="00CE322B"/>
    <w:rsid w:val="00CE33D6"/>
    <w:rsid w:val="00CE3469"/>
    <w:rsid w:val="00CE3A43"/>
    <w:rsid w:val="00CE404A"/>
    <w:rsid w:val="00CE4BF1"/>
    <w:rsid w:val="00CE4DDA"/>
    <w:rsid w:val="00CE4E29"/>
    <w:rsid w:val="00CE6325"/>
    <w:rsid w:val="00CE67D9"/>
    <w:rsid w:val="00CE6896"/>
    <w:rsid w:val="00CE7233"/>
    <w:rsid w:val="00CE7517"/>
    <w:rsid w:val="00CE7CA6"/>
    <w:rsid w:val="00CF00BE"/>
    <w:rsid w:val="00CF0351"/>
    <w:rsid w:val="00CF0DBD"/>
    <w:rsid w:val="00CF0DC3"/>
    <w:rsid w:val="00CF1C65"/>
    <w:rsid w:val="00CF2CE2"/>
    <w:rsid w:val="00CF41D0"/>
    <w:rsid w:val="00CF505E"/>
    <w:rsid w:val="00CF5E56"/>
    <w:rsid w:val="00CF666A"/>
    <w:rsid w:val="00CF678B"/>
    <w:rsid w:val="00CF7F85"/>
    <w:rsid w:val="00D019D7"/>
    <w:rsid w:val="00D02783"/>
    <w:rsid w:val="00D02DFA"/>
    <w:rsid w:val="00D03355"/>
    <w:rsid w:val="00D03CAE"/>
    <w:rsid w:val="00D03FF6"/>
    <w:rsid w:val="00D0413F"/>
    <w:rsid w:val="00D04194"/>
    <w:rsid w:val="00D0509B"/>
    <w:rsid w:val="00D0529F"/>
    <w:rsid w:val="00D05C95"/>
    <w:rsid w:val="00D061D1"/>
    <w:rsid w:val="00D06733"/>
    <w:rsid w:val="00D0691C"/>
    <w:rsid w:val="00D0795F"/>
    <w:rsid w:val="00D1001F"/>
    <w:rsid w:val="00D10753"/>
    <w:rsid w:val="00D1098E"/>
    <w:rsid w:val="00D10B3D"/>
    <w:rsid w:val="00D10B43"/>
    <w:rsid w:val="00D12D22"/>
    <w:rsid w:val="00D14343"/>
    <w:rsid w:val="00D1592C"/>
    <w:rsid w:val="00D15B05"/>
    <w:rsid w:val="00D15B26"/>
    <w:rsid w:val="00D1678F"/>
    <w:rsid w:val="00D1772F"/>
    <w:rsid w:val="00D20C88"/>
    <w:rsid w:val="00D21012"/>
    <w:rsid w:val="00D21733"/>
    <w:rsid w:val="00D218C9"/>
    <w:rsid w:val="00D21E8D"/>
    <w:rsid w:val="00D2268E"/>
    <w:rsid w:val="00D22B57"/>
    <w:rsid w:val="00D23091"/>
    <w:rsid w:val="00D231C9"/>
    <w:rsid w:val="00D23A42"/>
    <w:rsid w:val="00D23E5F"/>
    <w:rsid w:val="00D24141"/>
    <w:rsid w:val="00D24887"/>
    <w:rsid w:val="00D24E24"/>
    <w:rsid w:val="00D24FE3"/>
    <w:rsid w:val="00D250FC"/>
    <w:rsid w:val="00D25FC7"/>
    <w:rsid w:val="00D26518"/>
    <w:rsid w:val="00D26EEE"/>
    <w:rsid w:val="00D27252"/>
    <w:rsid w:val="00D303EE"/>
    <w:rsid w:val="00D30931"/>
    <w:rsid w:val="00D30D0B"/>
    <w:rsid w:val="00D31015"/>
    <w:rsid w:val="00D31A05"/>
    <w:rsid w:val="00D31D0D"/>
    <w:rsid w:val="00D322B3"/>
    <w:rsid w:val="00D3238D"/>
    <w:rsid w:val="00D326AD"/>
    <w:rsid w:val="00D33D4A"/>
    <w:rsid w:val="00D352EC"/>
    <w:rsid w:val="00D35574"/>
    <w:rsid w:val="00D357B7"/>
    <w:rsid w:val="00D35815"/>
    <w:rsid w:val="00D35E79"/>
    <w:rsid w:val="00D376DE"/>
    <w:rsid w:val="00D37864"/>
    <w:rsid w:val="00D37ABF"/>
    <w:rsid w:val="00D37B6E"/>
    <w:rsid w:val="00D408D9"/>
    <w:rsid w:val="00D41020"/>
    <w:rsid w:val="00D41131"/>
    <w:rsid w:val="00D420D5"/>
    <w:rsid w:val="00D428C9"/>
    <w:rsid w:val="00D43049"/>
    <w:rsid w:val="00D4392D"/>
    <w:rsid w:val="00D43C74"/>
    <w:rsid w:val="00D442F2"/>
    <w:rsid w:val="00D448CF"/>
    <w:rsid w:val="00D4515D"/>
    <w:rsid w:val="00D4539D"/>
    <w:rsid w:val="00D4576C"/>
    <w:rsid w:val="00D4590D"/>
    <w:rsid w:val="00D45B90"/>
    <w:rsid w:val="00D45DD7"/>
    <w:rsid w:val="00D45F32"/>
    <w:rsid w:val="00D45F8E"/>
    <w:rsid w:val="00D46169"/>
    <w:rsid w:val="00D46338"/>
    <w:rsid w:val="00D47B8D"/>
    <w:rsid w:val="00D5063A"/>
    <w:rsid w:val="00D506A5"/>
    <w:rsid w:val="00D50BB3"/>
    <w:rsid w:val="00D516C9"/>
    <w:rsid w:val="00D5190C"/>
    <w:rsid w:val="00D51BBB"/>
    <w:rsid w:val="00D51F13"/>
    <w:rsid w:val="00D52167"/>
    <w:rsid w:val="00D53576"/>
    <w:rsid w:val="00D53796"/>
    <w:rsid w:val="00D54D52"/>
    <w:rsid w:val="00D54F67"/>
    <w:rsid w:val="00D55761"/>
    <w:rsid w:val="00D55AAD"/>
    <w:rsid w:val="00D560F5"/>
    <w:rsid w:val="00D5696B"/>
    <w:rsid w:val="00D5704B"/>
    <w:rsid w:val="00D57051"/>
    <w:rsid w:val="00D57055"/>
    <w:rsid w:val="00D575FC"/>
    <w:rsid w:val="00D57D6F"/>
    <w:rsid w:val="00D610B9"/>
    <w:rsid w:val="00D61FEF"/>
    <w:rsid w:val="00D6274D"/>
    <w:rsid w:val="00D62B1D"/>
    <w:rsid w:val="00D62FF1"/>
    <w:rsid w:val="00D631A5"/>
    <w:rsid w:val="00D63C46"/>
    <w:rsid w:val="00D64210"/>
    <w:rsid w:val="00D64E6D"/>
    <w:rsid w:val="00D66305"/>
    <w:rsid w:val="00D66579"/>
    <w:rsid w:val="00D6692D"/>
    <w:rsid w:val="00D7035A"/>
    <w:rsid w:val="00D707DF"/>
    <w:rsid w:val="00D70D7F"/>
    <w:rsid w:val="00D718B3"/>
    <w:rsid w:val="00D7199C"/>
    <w:rsid w:val="00D71B95"/>
    <w:rsid w:val="00D71BF9"/>
    <w:rsid w:val="00D721D9"/>
    <w:rsid w:val="00D73475"/>
    <w:rsid w:val="00D7362F"/>
    <w:rsid w:val="00D73B10"/>
    <w:rsid w:val="00D73C0F"/>
    <w:rsid w:val="00D73D1B"/>
    <w:rsid w:val="00D74CEA"/>
    <w:rsid w:val="00D753D3"/>
    <w:rsid w:val="00D75B7A"/>
    <w:rsid w:val="00D75C61"/>
    <w:rsid w:val="00D765DC"/>
    <w:rsid w:val="00D76656"/>
    <w:rsid w:val="00D76830"/>
    <w:rsid w:val="00D772C6"/>
    <w:rsid w:val="00D77573"/>
    <w:rsid w:val="00D77A0D"/>
    <w:rsid w:val="00D80982"/>
    <w:rsid w:val="00D81231"/>
    <w:rsid w:val="00D81486"/>
    <w:rsid w:val="00D818EF"/>
    <w:rsid w:val="00D81AEF"/>
    <w:rsid w:val="00D831A2"/>
    <w:rsid w:val="00D83336"/>
    <w:rsid w:val="00D85140"/>
    <w:rsid w:val="00D853CE"/>
    <w:rsid w:val="00D853F5"/>
    <w:rsid w:val="00D85726"/>
    <w:rsid w:val="00D85D24"/>
    <w:rsid w:val="00D8604B"/>
    <w:rsid w:val="00D87EE4"/>
    <w:rsid w:val="00D902A8"/>
    <w:rsid w:val="00D937B1"/>
    <w:rsid w:val="00D94511"/>
    <w:rsid w:val="00D970B6"/>
    <w:rsid w:val="00D97FBB"/>
    <w:rsid w:val="00DA1CC6"/>
    <w:rsid w:val="00DA3A22"/>
    <w:rsid w:val="00DA3F3A"/>
    <w:rsid w:val="00DA4896"/>
    <w:rsid w:val="00DA4CD8"/>
    <w:rsid w:val="00DA4F3B"/>
    <w:rsid w:val="00DA5FCF"/>
    <w:rsid w:val="00DA609D"/>
    <w:rsid w:val="00DA61E1"/>
    <w:rsid w:val="00DA6530"/>
    <w:rsid w:val="00DA6864"/>
    <w:rsid w:val="00DA7246"/>
    <w:rsid w:val="00DA7B60"/>
    <w:rsid w:val="00DB018D"/>
    <w:rsid w:val="00DB0A38"/>
    <w:rsid w:val="00DB0E06"/>
    <w:rsid w:val="00DB251B"/>
    <w:rsid w:val="00DB26F7"/>
    <w:rsid w:val="00DB33A1"/>
    <w:rsid w:val="00DB33C0"/>
    <w:rsid w:val="00DB3743"/>
    <w:rsid w:val="00DB3C08"/>
    <w:rsid w:val="00DB43E4"/>
    <w:rsid w:val="00DB472F"/>
    <w:rsid w:val="00DB51E7"/>
    <w:rsid w:val="00DB5AD3"/>
    <w:rsid w:val="00DB648A"/>
    <w:rsid w:val="00DB683A"/>
    <w:rsid w:val="00DB73E3"/>
    <w:rsid w:val="00DC0113"/>
    <w:rsid w:val="00DC01DE"/>
    <w:rsid w:val="00DC04B8"/>
    <w:rsid w:val="00DC192F"/>
    <w:rsid w:val="00DC2DA0"/>
    <w:rsid w:val="00DC2E39"/>
    <w:rsid w:val="00DC303C"/>
    <w:rsid w:val="00DC3648"/>
    <w:rsid w:val="00DC37D1"/>
    <w:rsid w:val="00DC3867"/>
    <w:rsid w:val="00DC3A68"/>
    <w:rsid w:val="00DC4675"/>
    <w:rsid w:val="00DC55DD"/>
    <w:rsid w:val="00DC68F1"/>
    <w:rsid w:val="00DC6F5E"/>
    <w:rsid w:val="00DC76E9"/>
    <w:rsid w:val="00DC7999"/>
    <w:rsid w:val="00DD30EF"/>
    <w:rsid w:val="00DD3B56"/>
    <w:rsid w:val="00DD46CB"/>
    <w:rsid w:val="00DD547F"/>
    <w:rsid w:val="00DD5D06"/>
    <w:rsid w:val="00DD6379"/>
    <w:rsid w:val="00DD76CF"/>
    <w:rsid w:val="00DD7770"/>
    <w:rsid w:val="00DD7E9D"/>
    <w:rsid w:val="00DE19AC"/>
    <w:rsid w:val="00DE19E2"/>
    <w:rsid w:val="00DE21D9"/>
    <w:rsid w:val="00DE3029"/>
    <w:rsid w:val="00DE4505"/>
    <w:rsid w:val="00DE474A"/>
    <w:rsid w:val="00DE588A"/>
    <w:rsid w:val="00DE627D"/>
    <w:rsid w:val="00DE68B8"/>
    <w:rsid w:val="00DE6D7D"/>
    <w:rsid w:val="00DF043E"/>
    <w:rsid w:val="00DF1360"/>
    <w:rsid w:val="00DF276E"/>
    <w:rsid w:val="00DF3DC9"/>
    <w:rsid w:val="00DF4069"/>
    <w:rsid w:val="00DF429A"/>
    <w:rsid w:val="00DF437F"/>
    <w:rsid w:val="00DF49AD"/>
    <w:rsid w:val="00DF4AA0"/>
    <w:rsid w:val="00DF4D26"/>
    <w:rsid w:val="00DF4FEA"/>
    <w:rsid w:val="00DF521D"/>
    <w:rsid w:val="00DF5B95"/>
    <w:rsid w:val="00DF642F"/>
    <w:rsid w:val="00DF6481"/>
    <w:rsid w:val="00DF76AB"/>
    <w:rsid w:val="00E0002B"/>
    <w:rsid w:val="00E00428"/>
    <w:rsid w:val="00E0050E"/>
    <w:rsid w:val="00E0053C"/>
    <w:rsid w:val="00E00CDF"/>
    <w:rsid w:val="00E00FD7"/>
    <w:rsid w:val="00E01C39"/>
    <w:rsid w:val="00E01E9B"/>
    <w:rsid w:val="00E02C79"/>
    <w:rsid w:val="00E02E81"/>
    <w:rsid w:val="00E0317E"/>
    <w:rsid w:val="00E0384A"/>
    <w:rsid w:val="00E03E29"/>
    <w:rsid w:val="00E04AB3"/>
    <w:rsid w:val="00E04CD4"/>
    <w:rsid w:val="00E063A2"/>
    <w:rsid w:val="00E07238"/>
    <w:rsid w:val="00E0788C"/>
    <w:rsid w:val="00E10019"/>
    <w:rsid w:val="00E103D4"/>
    <w:rsid w:val="00E107DA"/>
    <w:rsid w:val="00E10A7E"/>
    <w:rsid w:val="00E10C3C"/>
    <w:rsid w:val="00E1167E"/>
    <w:rsid w:val="00E11AB0"/>
    <w:rsid w:val="00E11DA2"/>
    <w:rsid w:val="00E121B1"/>
    <w:rsid w:val="00E12464"/>
    <w:rsid w:val="00E12723"/>
    <w:rsid w:val="00E133A9"/>
    <w:rsid w:val="00E13484"/>
    <w:rsid w:val="00E1362A"/>
    <w:rsid w:val="00E13721"/>
    <w:rsid w:val="00E13864"/>
    <w:rsid w:val="00E143AF"/>
    <w:rsid w:val="00E147B1"/>
    <w:rsid w:val="00E153D1"/>
    <w:rsid w:val="00E1543C"/>
    <w:rsid w:val="00E165C7"/>
    <w:rsid w:val="00E16F73"/>
    <w:rsid w:val="00E207E4"/>
    <w:rsid w:val="00E20A46"/>
    <w:rsid w:val="00E21090"/>
    <w:rsid w:val="00E21273"/>
    <w:rsid w:val="00E2178E"/>
    <w:rsid w:val="00E225F7"/>
    <w:rsid w:val="00E22744"/>
    <w:rsid w:val="00E2310F"/>
    <w:rsid w:val="00E2392E"/>
    <w:rsid w:val="00E2409B"/>
    <w:rsid w:val="00E24459"/>
    <w:rsid w:val="00E2463D"/>
    <w:rsid w:val="00E247F6"/>
    <w:rsid w:val="00E24C37"/>
    <w:rsid w:val="00E257A3"/>
    <w:rsid w:val="00E257C2"/>
    <w:rsid w:val="00E25AC9"/>
    <w:rsid w:val="00E25F65"/>
    <w:rsid w:val="00E26069"/>
    <w:rsid w:val="00E262A1"/>
    <w:rsid w:val="00E270AF"/>
    <w:rsid w:val="00E30563"/>
    <w:rsid w:val="00E3064F"/>
    <w:rsid w:val="00E31D6E"/>
    <w:rsid w:val="00E32611"/>
    <w:rsid w:val="00E32792"/>
    <w:rsid w:val="00E32CCF"/>
    <w:rsid w:val="00E3350E"/>
    <w:rsid w:val="00E3486C"/>
    <w:rsid w:val="00E35659"/>
    <w:rsid w:val="00E359B7"/>
    <w:rsid w:val="00E35B5A"/>
    <w:rsid w:val="00E37058"/>
    <w:rsid w:val="00E37742"/>
    <w:rsid w:val="00E37C01"/>
    <w:rsid w:val="00E40198"/>
    <w:rsid w:val="00E403B3"/>
    <w:rsid w:val="00E405BF"/>
    <w:rsid w:val="00E40625"/>
    <w:rsid w:val="00E40C3C"/>
    <w:rsid w:val="00E41D48"/>
    <w:rsid w:val="00E42640"/>
    <w:rsid w:val="00E431E1"/>
    <w:rsid w:val="00E43C93"/>
    <w:rsid w:val="00E43E64"/>
    <w:rsid w:val="00E44475"/>
    <w:rsid w:val="00E44961"/>
    <w:rsid w:val="00E452DD"/>
    <w:rsid w:val="00E46A3C"/>
    <w:rsid w:val="00E46E1D"/>
    <w:rsid w:val="00E46EB0"/>
    <w:rsid w:val="00E46EFD"/>
    <w:rsid w:val="00E47C31"/>
    <w:rsid w:val="00E50E6D"/>
    <w:rsid w:val="00E51709"/>
    <w:rsid w:val="00E51DB5"/>
    <w:rsid w:val="00E5213D"/>
    <w:rsid w:val="00E52741"/>
    <w:rsid w:val="00E54C3D"/>
    <w:rsid w:val="00E55166"/>
    <w:rsid w:val="00E5573D"/>
    <w:rsid w:val="00E56085"/>
    <w:rsid w:val="00E57BB8"/>
    <w:rsid w:val="00E57D5C"/>
    <w:rsid w:val="00E60401"/>
    <w:rsid w:val="00E60552"/>
    <w:rsid w:val="00E61860"/>
    <w:rsid w:val="00E61895"/>
    <w:rsid w:val="00E6225E"/>
    <w:rsid w:val="00E62333"/>
    <w:rsid w:val="00E62BB3"/>
    <w:rsid w:val="00E638B6"/>
    <w:rsid w:val="00E639F4"/>
    <w:rsid w:val="00E63F5D"/>
    <w:rsid w:val="00E64977"/>
    <w:rsid w:val="00E64CBB"/>
    <w:rsid w:val="00E65030"/>
    <w:rsid w:val="00E65490"/>
    <w:rsid w:val="00E654FC"/>
    <w:rsid w:val="00E66207"/>
    <w:rsid w:val="00E66992"/>
    <w:rsid w:val="00E67A49"/>
    <w:rsid w:val="00E70877"/>
    <w:rsid w:val="00E72D9C"/>
    <w:rsid w:val="00E72F42"/>
    <w:rsid w:val="00E7343F"/>
    <w:rsid w:val="00E7344F"/>
    <w:rsid w:val="00E741E2"/>
    <w:rsid w:val="00E742FC"/>
    <w:rsid w:val="00E748EB"/>
    <w:rsid w:val="00E74A01"/>
    <w:rsid w:val="00E7519C"/>
    <w:rsid w:val="00E75457"/>
    <w:rsid w:val="00E7551B"/>
    <w:rsid w:val="00E75A92"/>
    <w:rsid w:val="00E76091"/>
    <w:rsid w:val="00E77012"/>
    <w:rsid w:val="00E770D3"/>
    <w:rsid w:val="00E77620"/>
    <w:rsid w:val="00E7792C"/>
    <w:rsid w:val="00E805E4"/>
    <w:rsid w:val="00E80B78"/>
    <w:rsid w:val="00E80FDC"/>
    <w:rsid w:val="00E81011"/>
    <w:rsid w:val="00E81D06"/>
    <w:rsid w:val="00E81D75"/>
    <w:rsid w:val="00E821F6"/>
    <w:rsid w:val="00E8252E"/>
    <w:rsid w:val="00E8429F"/>
    <w:rsid w:val="00E84AE9"/>
    <w:rsid w:val="00E85D06"/>
    <w:rsid w:val="00E86444"/>
    <w:rsid w:val="00E86716"/>
    <w:rsid w:val="00E86C22"/>
    <w:rsid w:val="00E870DD"/>
    <w:rsid w:val="00E871A8"/>
    <w:rsid w:val="00E871AF"/>
    <w:rsid w:val="00E87857"/>
    <w:rsid w:val="00E90C29"/>
    <w:rsid w:val="00E90E19"/>
    <w:rsid w:val="00E9164A"/>
    <w:rsid w:val="00E91A93"/>
    <w:rsid w:val="00E925AB"/>
    <w:rsid w:val="00E9278F"/>
    <w:rsid w:val="00E92CA6"/>
    <w:rsid w:val="00E934CC"/>
    <w:rsid w:val="00E94274"/>
    <w:rsid w:val="00E946A4"/>
    <w:rsid w:val="00E949AB"/>
    <w:rsid w:val="00E94A65"/>
    <w:rsid w:val="00E94D24"/>
    <w:rsid w:val="00E95FC4"/>
    <w:rsid w:val="00E9611E"/>
    <w:rsid w:val="00E97626"/>
    <w:rsid w:val="00E97EEE"/>
    <w:rsid w:val="00EA0375"/>
    <w:rsid w:val="00EA0425"/>
    <w:rsid w:val="00EA0832"/>
    <w:rsid w:val="00EA1C2C"/>
    <w:rsid w:val="00EA1F7B"/>
    <w:rsid w:val="00EA232E"/>
    <w:rsid w:val="00EA2686"/>
    <w:rsid w:val="00EA288E"/>
    <w:rsid w:val="00EA3067"/>
    <w:rsid w:val="00EA33B7"/>
    <w:rsid w:val="00EA3772"/>
    <w:rsid w:val="00EA4532"/>
    <w:rsid w:val="00EA4FB1"/>
    <w:rsid w:val="00EA5B9A"/>
    <w:rsid w:val="00EA5F45"/>
    <w:rsid w:val="00EA6E50"/>
    <w:rsid w:val="00EA704B"/>
    <w:rsid w:val="00EA7468"/>
    <w:rsid w:val="00EA79CE"/>
    <w:rsid w:val="00EB003F"/>
    <w:rsid w:val="00EB0562"/>
    <w:rsid w:val="00EB060A"/>
    <w:rsid w:val="00EB0E31"/>
    <w:rsid w:val="00EB1ABE"/>
    <w:rsid w:val="00EB1E5B"/>
    <w:rsid w:val="00EB2C50"/>
    <w:rsid w:val="00EB33A3"/>
    <w:rsid w:val="00EB551D"/>
    <w:rsid w:val="00EB56E3"/>
    <w:rsid w:val="00EB5A42"/>
    <w:rsid w:val="00EB5C89"/>
    <w:rsid w:val="00EB5FA6"/>
    <w:rsid w:val="00EB7B6B"/>
    <w:rsid w:val="00EC0698"/>
    <w:rsid w:val="00EC0A7C"/>
    <w:rsid w:val="00EC0CEE"/>
    <w:rsid w:val="00EC16E3"/>
    <w:rsid w:val="00EC1829"/>
    <w:rsid w:val="00EC1ED9"/>
    <w:rsid w:val="00EC218A"/>
    <w:rsid w:val="00EC21D7"/>
    <w:rsid w:val="00EC309F"/>
    <w:rsid w:val="00EC33CF"/>
    <w:rsid w:val="00EC46A2"/>
    <w:rsid w:val="00EC48D6"/>
    <w:rsid w:val="00EC4A58"/>
    <w:rsid w:val="00EC4C34"/>
    <w:rsid w:val="00EC555B"/>
    <w:rsid w:val="00EC5C62"/>
    <w:rsid w:val="00EC6410"/>
    <w:rsid w:val="00ED0691"/>
    <w:rsid w:val="00ED17A4"/>
    <w:rsid w:val="00ED27B7"/>
    <w:rsid w:val="00ED2BE5"/>
    <w:rsid w:val="00ED2F07"/>
    <w:rsid w:val="00ED35DB"/>
    <w:rsid w:val="00ED394F"/>
    <w:rsid w:val="00ED3AC4"/>
    <w:rsid w:val="00ED401E"/>
    <w:rsid w:val="00ED45EC"/>
    <w:rsid w:val="00ED48F6"/>
    <w:rsid w:val="00ED5CD3"/>
    <w:rsid w:val="00ED7F26"/>
    <w:rsid w:val="00EE05AF"/>
    <w:rsid w:val="00EE18B4"/>
    <w:rsid w:val="00EE2594"/>
    <w:rsid w:val="00EE268F"/>
    <w:rsid w:val="00EE3840"/>
    <w:rsid w:val="00EE3985"/>
    <w:rsid w:val="00EE3B9A"/>
    <w:rsid w:val="00EE42DF"/>
    <w:rsid w:val="00EE438D"/>
    <w:rsid w:val="00EE4A4F"/>
    <w:rsid w:val="00EE4CBC"/>
    <w:rsid w:val="00EE5937"/>
    <w:rsid w:val="00EE5AFB"/>
    <w:rsid w:val="00EE5E40"/>
    <w:rsid w:val="00EE6BB7"/>
    <w:rsid w:val="00EE70CC"/>
    <w:rsid w:val="00EF0238"/>
    <w:rsid w:val="00EF06AD"/>
    <w:rsid w:val="00EF1206"/>
    <w:rsid w:val="00EF134D"/>
    <w:rsid w:val="00EF14F7"/>
    <w:rsid w:val="00EF223B"/>
    <w:rsid w:val="00EF2CD6"/>
    <w:rsid w:val="00EF3141"/>
    <w:rsid w:val="00EF3D60"/>
    <w:rsid w:val="00EF479B"/>
    <w:rsid w:val="00EF4F95"/>
    <w:rsid w:val="00EF52D3"/>
    <w:rsid w:val="00EF56F3"/>
    <w:rsid w:val="00EF6706"/>
    <w:rsid w:val="00EF7CA9"/>
    <w:rsid w:val="00F0030C"/>
    <w:rsid w:val="00F0045A"/>
    <w:rsid w:val="00F00555"/>
    <w:rsid w:val="00F006DF"/>
    <w:rsid w:val="00F00C5B"/>
    <w:rsid w:val="00F021BD"/>
    <w:rsid w:val="00F02B6A"/>
    <w:rsid w:val="00F03324"/>
    <w:rsid w:val="00F05ACF"/>
    <w:rsid w:val="00F062BD"/>
    <w:rsid w:val="00F0673B"/>
    <w:rsid w:val="00F07613"/>
    <w:rsid w:val="00F0763D"/>
    <w:rsid w:val="00F07830"/>
    <w:rsid w:val="00F07957"/>
    <w:rsid w:val="00F100D8"/>
    <w:rsid w:val="00F1096C"/>
    <w:rsid w:val="00F1098E"/>
    <w:rsid w:val="00F1135A"/>
    <w:rsid w:val="00F11923"/>
    <w:rsid w:val="00F128A1"/>
    <w:rsid w:val="00F12E1C"/>
    <w:rsid w:val="00F1341D"/>
    <w:rsid w:val="00F13803"/>
    <w:rsid w:val="00F13939"/>
    <w:rsid w:val="00F1464B"/>
    <w:rsid w:val="00F1470D"/>
    <w:rsid w:val="00F1493F"/>
    <w:rsid w:val="00F14E4F"/>
    <w:rsid w:val="00F15100"/>
    <w:rsid w:val="00F16768"/>
    <w:rsid w:val="00F167E3"/>
    <w:rsid w:val="00F169F1"/>
    <w:rsid w:val="00F17A62"/>
    <w:rsid w:val="00F201C6"/>
    <w:rsid w:val="00F20C36"/>
    <w:rsid w:val="00F2113E"/>
    <w:rsid w:val="00F2143C"/>
    <w:rsid w:val="00F2262B"/>
    <w:rsid w:val="00F2283C"/>
    <w:rsid w:val="00F23742"/>
    <w:rsid w:val="00F2383F"/>
    <w:rsid w:val="00F23D38"/>
    <w:rsid w:val="00F25093"/>
    <w:rsid w:val="00F25583"/>
    <w:rsid w:val="00F25CFE"/>
    <w:rsid w:val="00F26508"/>
    <w:rsid w:val="00F272B4"/>
    <w:rsid w:val="00F2730A"/>
    <w:rsid w:val="00F2747B"/>
    <w:rsid w:val="00F27543"/>
    <w:rsid w:val="00F2756A"/>
    <w:rsid w:val="00F275A2"/>
    <w:rsid w:val="00F27F8D"/>
    <w:rsid w:val="00F31689"/>
    <w:rsid w:val="00F31777"/>
    <w:rsid w:val="00F31D95"/>
    <w:rsid w:val="00F32081"/>
    <w:rsid w:val="00F32D11"/>
    <w:rsid w:val="00F34598"/>
    <w:rsid w:val="00F348ED"/>
    <w:rsid w:val="00F34A00"/>
    <w:rsid w:val="00F35CB9"/>
    <w:rsid w:val="00F3677F"/>
    <w:rsid w:val="00F36B37"/>
    <w:rsid w:val="00F36E8C"/>
    <w:rsid w:val="00F3780B"/>
    <w:rsid w:val="00F37AEA"/>
    <w:rsid w:val="00F404D2"/>
    <w:rsid w:val="00F40513"/>
    <w:rsid w:val="00F405B1"/>
    <w:rsid w:val="00F40A86"/>
    <w:rsid w:val="00F40B3E"/>
    <w:rsid w:val="00F42560"/>
    <w:rsid w:val="00F425B1"/>
    <w:rsid w:val="00F426CA"/>
    <w:rsid w:val="00F42CA8"/>
    <w:rsid w:val="00F4301D"/>
    <w:rsid w:val="00F43056"/>
    <w:rsid w:val="00F431AB"/>
    <w:rsid w:val="00F4351B"/>
    <w:rsid w:val="00F43F71"/>
    <w:rsid w:val="00F44053"/>
    <w:rsid w:val="00F440B1"/>
    <w:rsid w:val="00F44342"/>
    <w:rsid w:val="00F44981"/>
    <w:rsid w:val="00F44EC7"/>
    <w:rsid w:val="00F45305"/>
    <w:rsid w:val="00F45724"/>
    <w:rsid w:val="00F46724"/>
    <w:rsid w:val="00F476DC"/>
    <w:rsid w:val="00F50211"/>
    <w:rsid w:val="00F5047B"/>
    <w:rsid w:val="00F504F4"/>
    <w:rsid w:val="00F50A53"/>
    <w:rsid w:val="00F5122C"/>
    <w:rsid w:val="00F51FA9"/>
    <w:rsid w:val="00F5216D"/>
    <w:rsid w:val="00F5248D"/>
    <w:rsid w:val="00F5333C"/>
    <w:rsid w:val="00F53553"/>
    <w:rsid w:val="00F536B1"/>
    <w:rsid w:val="00F54110"/>
    <w:rsid w:val="00F54A8B"/>
    <w:rsid w:val="00F54DC9"/>
    <w:rsid w:val="00F557CB"/>
    <w:rsid w:val="00F55CA5"/>
    <w:rsid w:val="00F56D87"/>
    <w:rsid w:val="00F56E7C"/>
    <w:rsid w:val="00F57820"/>
    <w:rsid w:val="00F603B0"/>
    <w:rsid w:val="00F6064B"/>
    <w:rsid w:val="00F6129D"/>
    <w:rsid w:val="00F61680"/>
    <w:rsid w:val="00F62075"/>
    <w:rsid w:val="00F627BF"/>
    <w:rsid w:val="00F6298A"/>
    <w:rsid w:val="00F62F51"/>
    <w:rsid w:val="00F6304D"/>
    <w:rsid w:val="00F63D53"/>
    <w:rsid w:val="00F64262"/>
    <w:rsid w:val="00F65AAE"/>
    <w:rsid w:val="00F65B9F"/>
    <w:rsid w:val="00F66802"/>
    <w:rsid w:val="00F7022A"/>
    <w:rsid w:val="00F70D13"/>
    <w:rsid w:val="00F70D2E"/>
    <w:rsid w:val="00F70EC4"/>
    <w:rsid w:val="00F7112F"/>
    <w:rsid w:val="00F712BE"/>
    <w:rsid w:val="00F714C1"/>
    <w:rsid w:val="00F71548"/>
    <w:rsid w:val="00F7197A"/>
    <w:rsid w:val="00F71C5E"/>
    <w:rsid w:val="00F7238F"/>
    <w:rsid w:val="00F72572"/>
    <w:rsid w:val="00F72DE5"/>
    <w:rsid w:val="00F73874"/>
    <w:rsid w:val="00F73FC2"/>
    <w:rsid w:val="00F751A5"/>
    <w:rsid w:val="00F75540"/>
    <w:rsid w:val="00F757A4"/>
    <w:rsid w:val="00F7622B"/>
    <w:rsid w:val="00F76264"/>
    <w:rsid w:val="00F76916"/>
    <w:rsid w:val="00F774DB"/>
    <w:rsid w:val="00F77B09"/>
    <w:rsid w:val="00F80863"/>
    <w:rsid w:val="00F80865"/>
    <w:rsid w:val="00F8192A"/>
    <w:rsid w:val="00F81A99"/>
    <w:rsid w:val="00F8215C"/>
    <w:rsid w:val="00F8376D"/>
    <w:rsid w:val="00F853C5"/>
    <w:rsid w:val="00F85564"/>
    <w:rsid w:val="00F870BE"/>
    <w:rsid w:val="00F904CB"/>
    <w:rsid w:val="00F90520"/>
    <w:rsid w:val="00F9080B"/>
    <w:rsid w:val="00F90B9F"/>
    <w:rsid w:val="00F90D6E"/>
    <w:rsid w:val="00F91080"/>
    <w:rsid w:val="00F9112C"/>
    <w:rsid w:val="00F916BD"/>
    <w:rsid w:val="00F9197D"/>
    <w:rsid w:val="00F91F81"/>
    <w:rsid w:val="00F9216F"/>
    <w:rsid w:val="00F921EC"/>
    <w:rsid w:val="00F9382D"/>
    <w:rsid w:val="00F93FAF"/>
    <w:rsid w:val="00F94A04"/>
    <w:rsid w:val="00F9555F"/>
    <w:rsid w:val="00F95567"/>
    <w:rsid w:val="00F960F3"/>
    <w:rsid w:val="00F97880"/>
    <w:rsid w:val="00F97B93"/>
    <w:rsid w:val="00F97CFA"/>
    <w:rsid w:val="00F97FBD"/>
    <w:rsid w:val="00FA01C7"/>
    <w:rsid w:val="00FA082E"/>
    <w:rsid w:val="00FA1883"/>
    <w:rsid w:val="00FA1D62"/>
    <w:rsid w:val="00FA2FB7"/>
    <w:rsid w:val="00FA4C3A"/>
    <w:rsid w:val="00FA56EB"/>
    <w:rsid w:val="00FA5F01"/>
    <w:rsid w:val="00FA6595"/>
    <w:rsid w:val="00FA6876"/>
    <w:rsid w:val="00FA7DBF"/>
    <w:rsid w:val="00FB17D8"/>
    <w:rsid w:val="00FB1C59"/>
    <w:rsid w:val="00FB1D1A"/>
    <w:rsid w:val="00FB2314"/>
    <w:rsid w:val="00FB2A20"/>
    <w:rsid w:val="00FB3942"/>
    <w:rsid w:val="00FB43B7"/>
    <w:rsid w:val="00FB4909"/>
    <w:rsid w:val="00FB4FD6"/>
    <w:rsid w:val="00FB5E27"/>
    <w:rsid w:val="00FB5E3A"/>
    <w:rsid w:val="00FB65D0"/>
    <w:rsid w:val="00FB6705"/>
    <w:rsid w:val="00FB6D5F"/>
    <w:rsid w:val="00FB6E72"/>
    <w:rsid w:val="00FB77A4"/>
    <w:rsid w:val="00FC02A8"/>
    <w:rsid w:val="00FC0669"/>
    <w:rsid w:val="00FC07D8"/>
    <w:rsid w:val="00FC1922"/>
    <w:rsid w:val="00FC206E"/>
    <w:rsid w:val="00FC2755"/>
    <w:rsid w:val="00FC2765"/>
    <w:rsid w:val="00FC30C2"/>
    <w:rsid w:val="00FC34E1"/>
    <w:rsid w:val="00FC384E"/>
    <w:rsid w:val="00FC398C"/>
    <w:rsid w:val="00FC3CE6"/>
    <w:rsid w:val="00FC4344"/>
    <w:rsid w:val="00FC4A6B"/>
    <w:rsid w:val="00FC4B49"/>
    <w:rsid w:val="00FC4C6F"/>
    <w:rsid w:val="00FC50A7"/>
    <w:rsid w:val="00FC5921"/>
    <w:rsid w:val="00FC5BCC"/>
    <w:rsid w:val="00FC6126"/>
    <w:rsid w:val="00FC6486"/>
    <w:rsid w:val="00FC6F40"/>
    <w:rsid w:val="00FC721F"/>
    <w:rsid w:val="00FC7DE8"/>
    <w:rsid w:val="00FD076E"/>
    <w:rsid w:val="00FD0DAD"/>
    <w:rsid w:val="00FD112B"/>
    <w:rsid w:val="00FD18BB"/>
    <w:rsid w:val="00FD1CBC"/>
    <w:rsid w:val="00FD416C"/>
    <w:rsid w:val="00FD4342"/>
    <w:rsid w:val="00FD446B"/>
    <w:rsid w:val="00FD473A"/>
    <w:rsid w:val="00FD4A82"/>
    <w:rsid w:val="00FD56E8"/>
    <w:rsid w:val="00FD5A03"/>
    <w:rsid w:val="00FD65A8"/>
    <w:rsid w:val="00FD6797"/>
    <w:rsid w:val="00FD6EB6"/>
    <w:rsid w:val="00FD6F27"/>
    <w:rsid w:val="00FD72AA"/>
    <w:rsid w:val="00FD7B98"/>
    <w:rsid w:val="00FD7D38"/>
    <w:rsid w:val="00FD7DB3"/>
    <w:rsid w:val="00FE0B95"/>
    <w:rsid w:val="00FE0CDE"/>
    <w:rsid w:val="00FE123F"/>
    <w:rsid w:val="00FE128C"/>
    <w:rsid w:val="00FE131C"/>
    <w:rsid w:val="00FE1B14"/>
    <w:rsid w:val="00FE3734"/>
    <w:rsid w:val="00FE3966"/>
    <w:rsid w:val="00FE39A3"/>
    <w:rsid w:val="00FE3B02"/>
    <w:rsid w:val="00FE3DF3"/>
    <w:rsid w:val="00FE4471"/>
    <w:rsid w:val="00FE4AA7"/>
    <w:rsid w:val="00FE5F78"/>
    <w:rsid w:val="00FE5F79"/>
    <w:rsid w:val="00FE69CE"/>
    <w:rsid w:val="00FE7C09"/>
    <w:rsid w:val="00FE7CEB"/>
    <w:rsid w:val="00FF0299"/>
    <w:rsid w:val="00FF08C1"/>
    <w:rsid w:val="00FF0A98"/>
    <w:rsid w:val="00FF16AA"/>
    <w:rsid w:val="00FF2487"/>
    <w:rsid w:val="00FF2CE5"/>
    <w:rsid w:val="00FF354F"/>
    <w:rsid w:val="00FF3CF0"/>
    <w:rsid w:val="00FF440D"/>
    <w:rsid w:val="00FF48C9"/>
    <w:rsid w:val="00FF5D06"/>
    <w:rsid w:val="00FF6D7F"/>
    <w:rsid w:val="00FF7E46"/>
    <w:rsid w:val="0DC26A93"/>
    <w:rsid w:val="0EE14450"/>
    <w:rsid w:val="190DBEB2"/>
    <w:rsid w:val="1BB3AED7"/>
    <w:rsid w:val="2A5C0878"/>
    <w:rsid w:val="2C9C274D"/>
    <w:rsid w:val="318A2755"/>
    <w:rsid w:val="3EF9352F"/>
    <w:rsid w:val="5B5D4F9A"/>
    <w:rsid w:val="749200BE"/>
    <w:rsid w:val="7B229403"/>
    <w:rsid w:val="7B81A6F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88D65"/>
  <w15:docId w15:val="{FE94E84E-BF1A-4B6F-B57B-3279C596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07"/>
    <w:pPr>
      <w:spacing w:after="240"/>
      <w:contextualSpacing/>
    </w:pPr>
    <w:rPr>
      <w:rFonts w:ascii="Lato" w:hAnsi="Lato"/>
      <w:sz w:val="22"/>
    </w:rPr>
  </w:style>
  <w:style w:type="paragraph" w:styleId="Overskrift1">
    <w:name w:val="heading 1"/>
    <w:basedOn w:val="Overskrift3"/>
    <w:next w:val="Normal"/>
    <w:link w:val="Overskrift1Tegn"/>
    <w:uiPriority w:val="9"/>
    <w:qFormat/>
    <w:rsid w:val="00FC5BCC"/>
    <w:pPr>
      <w:numPr>
        <w:ilvl w:val="0"/>
      </w:numPr>
      <w:outlineLvl w:val="0"/>
    </w:pPr>
    <w:rPr>
      <w:sz w:val="36"/>
      <w:szCs w:val="36"/>
    </w:rPr>
  </w:style>
  <w:style w:type="paragraph" w:styleId="Overskrift2">
    <w:name w:val="heading 2"/>
    <w:basedOn w:val="Normal"/>
    <w:next w:val="Normal"/>
    <w:link w:val="Overskrift2Tegn"/>
    <w:uiPriority w:val="9"/>
    <w:unhideWhenUsed/>
    <w:qFormat/>
    <w:rsid w:val="00FC5BCC"/>
    <w:pPr>
      <w:keepNext/>
      <w:keepLines/>
      <w:numPr>
        <w:ilvl w:val="1"/>
        <w:numId w:val="28"/>
      </w:numPr>
      <w:spacing w:before="200" w:after="0" w:line="240" w:lineRule="auto"/>
      <w:outlineLvl w:val="1"/>
    </w:pPr>
    <w:rPr>
      <w:rFonts w:ascii="Bebas Neue" w:eastAsiaTheme="majorEastAsia" w:hAnsi="Bebas Neue" w:cstheme="majorBidi"/>
      <w:bCs/>
      <w:color w:val="07385E"/>
      <w:sz w:val="28"/>
      <w:szCs w:val="24"/>
    </w:rPr>
  </w:style>
  <w:style w:type="paragraph" w:styleId="Overskrift3">
    <w:name w:val="heading 3"/>
    <w:basedOn w:val="Overskrift2"/>
    <w:next w:val="Normal"/>
    <w:link w:val="Overskrift3Tegn"/>
    <w:uiPriority w:val="9"/>
    <w:unhideWhenUsed/>
    <w:qFormat/>
    <w:rsid w:val="00FC5BCC"/>
    <w:pPr>
      <w:numPr>
        <w:ilvl w:val="2"/>
      </w:numPr>
      <w:outlineLvl w:val="2"/>
    </w:pPr>
    <w:rPr>
      <w:sz w:val="24"/>
    </w:rPr>
  </w:style>
  <w:style w:type="paragraph" w:styleId="Overskrift4">
    <w:name w:val="heading 4"/>
    <w:basedOn w:val="Normal"/>
    <w:next w:val="Normal"/>
    <w:link w:val="Overskrift4Tegn"/>
    <w:uiPriority w:val="9"/>
    <w:unhideWhenUsed/>
    <w:qFormat/>
    <w:rsid w:val="00FC5BCC"/>
    <w:pPr>
      <w:keepNext/>
      <w:keepLines/>
      <w:spacing w:before="200" w:after="0" w:line="240" w:lineRule="auto"/>
      <w:outlineLvl w:val="3"/>
    </w:pPr>
    <w:rPr>
      <w:rFonts w:ascii="Bebas Neue" w:eastAsiaTheme="majorEastAsia" w:hAnsi="Bebas Neue" w:cstheme="majorBidi"/>
      <w:bCs/>
      <w:color w:val="07385E"/>
      <w:sz w:val="24"/>
    </w:rPr>
  </w:style>
  <w:style w:type="paragraph" w:styleId="Overskrift5">
    <w:name w:val="heading 5"/>
    <w:basedOn w:val="Overskrift4"/>
    <w:next w:val="Normal"/>
    <w:link w:val="Overskrift5Tegn"/>
    <w:uiPriority w:val="9"/>
    <w:unhideWhenUsed/>
    <w:rsid w:val="00FC5BCC"/>
    <w:pPr>
      <w:numPr>
        <w:ilvl w:val="4"/>
      </w:numPr>
      <w:outlineLvl w:val="4"/>
    </w:pPr>
    <w:rPr>
      <w:sz w:val="29"/>
      <w:szCs w:val="29"/>
    </w:rPr>
  </w:style>
  <w:style w:type="paragraph" w:styleId="Overskrift6">
    <w:name w:val="heading 6"/>
    <w:basedOn w:val="Overskrift5"/>
    <w:next w:val="Normal"/>
    <w:link w:val="Overskrift6Tegn"/>
    <w:uiPriority w:val="9"/>
    <w:unhideWhenUsed/>
    <w:rsid w:val="00FC5BCC"/>
    <w:pPr>
      <w:numPr>
        <w:ilvl w:val="5"/>
      </w:numPr>
      <w:outlineLvl w:val="5"/>
    </w:pPr>
    <w:rPr>
      <w:sz w:val="26"/>
      <w:szCs w:val="26"/>
    </w:rPr>
  </w:style>
  <w:style w:type="paragraph" w:styleId="Overskrift7">
    <w:name w:val="heading 7"/>
    <w:basedOn w:val="Normal"/>
    <w:next w:val="Normal"/>
    <w:link w:val="Overskrift7Tegn"/>
    <w:uiPriority w:val="9"/>
    <w:semiHidden/>
    <w:unhideWhenUsed/>
    <w:rsid w:val="00FC5BCC"/>
    <w:pPr>
      <w:keepNext/>
      <w:keepLines/>
      <w:numPr>
        <w:ilvl w:val="6"/>
        <w:numId w:val="28"/>
      </w:numPr>
      <w:spacing w:before="40" w:after="0"/>
      <w:outlineLvl w:val="6"/>
    </w:pPr>
    <w:rPr>
      <w:rFonts w:asciiTheme="majorHAnsi" w:eastAsiaTheme="majorEastAsia" w:hAnsiTheme="majorHAnsi" w:cstheme="majorBidi"/>
      <w:i/>
      <w:iCs/>
      <w:color w:val="001B32" w:themeColor="accent1" w:themeShade="7F"/>
    </w:rPr>
  </w:style>
  <w:style w:type="paragraph" w:styleId="Overskrift8">
    <w:name w:val="heading 8"/>
    <w:basedOn w:val="Normal"/>
    <w:next w:val="Normal"/>
    <w:link w:val="Overskrift8Tegn"/>
    <w:uiPriority w:val="9"/>
    <w:semiHidden/>
    <w:unhideWhenUsed/>
    <w:qFormat/>
    <w:rsid w:val="00FC5BCC"/>
    <w:pPr>
      <w:keepNext/>
      <w:keepLines/>
      <w:numPr>
        <w:ilvl w:val="7"/>
        <w:numId w:val="28"/>
      </w:numPr>
      <w:spacing w:before="40" w:after="0"/>
      <w:outlineLvl w:val="7"/>
    </w:pPr>
    <w:rPr>
      <w:rFonts w:asciiTheme="majorHAnsi" w:eastAsiaTheme="majorEastAsia" w:hAnsiTheme="majorHAnsi" w:cstheme="majorBidi"/>
      <w:color w:val="505354" w:themeColor="text1" w:themeTint="D8"/>
      <w:sz w:val="21"/>
      <w:szCs w:val="21"/>
    </w:rPr>
  </w:style>
  <w:style w:type="paragraph" w:styleId="Overskrift9">
    <w:name w:val="heading 9"/>
    <w:basedOn w:val="Normal"/>
    <w:next w:val="Normal"/>
    <w:link w:val="Overskrift9Tegn"/>
    <w:uiPriority w:val="9"/>
    <w:semiHidden/>
    <w:unhideWhenUsed/>
    <w:qFormat/>
    <w:rsid w:val="00FC5BCC"/>
    <w:pPr>
      <w:keepNext/>
      <w:keepLines/>
      <w:numPr>
        <w:ilvl w:val="8"/>
        <w:numId w:val="28"/>
      </w:numPr>
      <w:spacing w:before="40" w:after="0"/>
      <w:outlineLvl w:val="8"/>
    </w:pPr>
    <w:rPr>
      <w:rFonts w:asciiTheme="majorHAnsi" w:eastAsiaTheme="majorEastAsia" w:hAnsiTheme="majorHAnsi" w:cstheme="majorBidi"/>
      <w:i/>
      <w:iCs/>
      <w:color w:val="505354"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C5BCC"/>
    <w:rPr>
      <w:rFonts w:ascii="Bebas Neue" w:eastAsiaTheme="majorEastAsia" w:hAnsi="Bebas Neue" w:cstheme="majorBidi"/>
      <w:bCs/>
      <w:color w:val="07385E"/>
      <w:sz w:val="28"/>
      <w:szCs w:val="24"/>
    </w:rPr>
  </w:style>
  <w:style w:type="paragraph" w:styleId="Listeafsnit">
    <w:name w:val="List Paragraph"/>
    <w:basedOn w:val="Normal"/>
    <w:uiPriority w:val="34"/>
    <w:qFormat/>
    <w:rsid w:val="00FC5BCC"/>
    <w:pPr>
      <w:ind w:left="720"/>
    </w:pPr>
  </w:style>
  <w:style w:type="paragraph" w:customStyle="1" w:styleId="ListeCEPOS-notat">
    <w:name w:val="Liste CEPOS-notat"/>
    <w:basedOn w:val="Normal"/>
    <w:link w:val="ListeCEPOS-notatTegn"/>
    <w:rsid w:val="00FC5BCC"/>
    <w:pPr>
      <w:numPr>
        <w:numId w:val="2"/>
      </w:numPr>
    </w:pPr>
  </w:style>
  <w:style w:type="paragraph" w:customStyle="1" w:styleId="Punktopstilling">
    <w:name w:val="Punktopstilling"/>
    <w:basedOn w:val="ListeCEPOS-notat"/>
    <w:link w:val="PunktopstillingTegn"/>
    <w:qFormat/>
    <w:rsid w:val="00FC5BCC"/>
    <w:pPr>
      <w:ind w:left="714" w:hanging="357"/>
    </w:pPr>
  </w:style>
  <w:style w:type="paragraph" w:customStyle="1" w:styleId="Nummereretliste">
    <w:name w:val="Nummereret liste"/>
    <w:basedOn w:val="Punktopstilling"/>
    <w:link w:val="NummereretlisteTegn"/>
    <w:qFormat/>
    <w:rsid w:val="00FC5BCC"/>
    <w:pPr>
      <w:numPr>
        <w:numId w:val="3"/>
      </w:numPr>
    </w:pPr>
  </w:style>
  <w:style w:type="character" w:customStyle="1" w:styleId="ListeCEPOS-notatTegn">
    <w:name w:val="Liste CEPOS-notat Tegn"/>
    <w:basedOn w:val="Standardskrifttypeiafsnit"/>
    <w:link w:val="ListeCEPOS-notat"/>
    <w:rsid w:val="00FC5BCC"/>
    <w:rPr>
      <w:rFonts w:ascii="Lato" w:hAnsi="Lato"/>
      <w:sz w:val="22"/>
    </w:rPr>
  </w:style>
  <w:style w:type="character" w:customStyle="1" w:styleId="PunktopstillingTegn">
    <w:name w:val="Punktopstilling Tegn"/>
    <w:basedOn w:val="ListeCEPOS-notatTegn"/>
    <w:link w:val="Punktopstilling"/>
    <w:rsid w:val="00FC5BCC"/>
    <w:rPr>
      <w:rFonts w:ascii="Lato" w:hAnsi="Lato"/>
      <w:sz w:val="22"/>
    </w:rPr>
  </w:style>
  <w:style w:type="character" w:customStyle="1" w:styleId="Overskrift3Tegn">
    <w:name w:val="Overskrift 3 Tegn"/>
    <w:basedOn w:val="Standardskrifttypeiafsnit"/>
    <w:link w:val="Overskrift3"/>
    <w:uiPriority w:val="9"/>
    <w:rsid w:val="00FC5BCC"/>
    <w:rPr>
      <w:rFonts w:ascii="Bebas Neue" w:eastAsiaTheme="majorEastAsia" w:hAnsi="Bebas Neue" w:cstheme="majorBidi"/>
      <w:bCs/>
      <w:color w:val="07385E"/>
      <w:szCs w:val="24"/>
    </w:rPr>
  </w:style>
  <w:style w:type="character" w:customStyle="1" w:styleId="NummereretlisteTegn">
    <w:name w:val="Nummereret liste Tegn"/>
    <w:basedOn w:val="PunktopstillingTegn"/>
    <w:link w:val="Nummereretliste"/>
    <w:rsid w:val="00FC5BCC"/>
    <w:rPr>
      <w:rFonts w:ascii="Lato" w:hAnsi="Lato"/>
      <w:sz w:val="22"/>
    </w:rPr>
  </w:style>
  <w:style w:type="character" w:customStyle="1" w:styleId="Overskrift4Tegn">
    <w:name w:val="Overskrift 4 Tegn"/>
    <w:basedOn w:val="Standardskrifttypeiafsnit"/>
    <w:link w:val="Overskrift4"/>
    <w:uiPriority w:val="9"/>
    <w:rsid w:val="00FC5BCC"/>
    <w:rPr>
      <w:rFonts w:ascii="Bebas Neue" w:eastAsiaTheme="majorEastAsia" w:hAnsi="Bebas Neue" w:cstheme="majorBidi"/>
      <w:bCs/>
      <w:color w:val="07385E"/>
    </w:rPr>
  </w:style>
  <w:style w:type="character" w:customStyle="1" w:styleId="Overskrift5Tegn">
    <w:name w:val="Overskrift 5 Tegn"/>
    <w:basedOn w:val="Standardskrifttypeiafsnit"/>
    <w:link w:val="Overskrift5"/>
    <w:uiPriority w:val="9"/>
    <w:rsid w:val="00FC5BCC"/>
    <w:rPr>
      <w:rFonts w:ascii="Bebas Neue" w:eastAsiaTheme="majorEastAsia" w:hAnsi="Bebas Neue" w:cstheme="majorBidi"/>
      <w:bCs/>
      <w:color w:val="07385E"/>
      <w:sz w:val="29"/>
      <w:szCs w:val="29"/>
    </w:rPr>
  </w:style>
  <w:style w:type="character" w:customStyle="1" w:styleId="Overskrift6Tegn">
    <w:name w:val="Overskrift 6 Tegn"/>
    <w:basedOn w:val="Standardskrifttypeiafsnit"/>
    <w:link w:val="Overskrift6"/>
    <w:uiPriority w:val="9"/>
    <w:rsid w:val="00FC5BCC"/>
    <w:rPr>
      <w:rFonts w:ascii="Bebas Neue" w:eastAsiaTheme="majorEastAsia" w:hAnsi="Bebas Neue" w:cstheme="majorBidi"/>
      <w:bCs/>
      <w:color w:val="07385E"/>
      <w:sz w:val="26"/>
      <w:szCs w:val="26"/>
    </w:rPr>
  </w:style>
  <w:style w:type="paragraph" w:customStyle="1" w:styleId="Resum">
    <w:name w:val="Resumé"/>
    <w:basedOn w:val="Normal"/>
    <w:link w:val="ResumTegn"/>
    <w:qFormat/>
    <w:rsid w:val="00FC5BCC"/>
    <w:pPr>
      <w:spacing w:line="240" w:lineRule="auto"/>
    </w:pPr>
    <w:rPr>
      <w:i/>
    </w:rPr>
  </w:style>
  <w:style w:type="paragraph" w:customStyle="1" w:styleId="BrdtekstCEPOS-notat">
    <w:name w:val="Brødtekst CEPOS-notat"/>
    <w:basedOn w:val="Normal"/>
    <w:link w:val="BrdtekstCEPOS-notatTegn"/>
    <w:rsid w:val="00FC5BCC"/>
    <w:pPr>
      <w:spacing w:before="200" w:after="200"/>
    </w:pPr>
    <w:rPr>
      <w:rFonts w:asciiTheme="minorHAnsi" w:hAnsiTheme="minorHAnsi"/>
      <w:lang w:val="fr-FR"/>
    </w:rPr>
  </w:style>
  <w:style w:type="character" w:customStyle="1" w:styleId="ResumTegn">
    <w:name w:val="Resumé Tegn"/>
    <w:basedOn w:val="Standardskrifttypeiafsnit"/>
    <w:link w:val="Resum"/>
    <w:rsid w:val="00FC5BCC"/>
    <w:rPr>
      <w:rFonts w:ascii="Lato" w:hAnsi="Lato"/>
      <w:i/>
      <w:sz w:val="22"/>
    </w:rPr>
  </w:style>
  <w:style w:type="character" w:customStyle="1" w:styleId="BrdtekstCEPOS-notatTegn">
    <w:name w:val="Brødtekst CEPOS-notat Tegn"/>
    <w:basedOn w:val="Standardskrifttypeiafsnit"/>
    <w:link w:val="BrdtekstCEPOS-notat"/>
    <w:rsid w:val="00FC5BCC"/>
    <w:rPr>
      <w:rFonts w:asciiTheme="minorHAnsi" w:hAnsiTheme="minorHAnsi"/>
      <w:sz w:val="22"/>
      <w:lang w:val="fr-FR"/>
    </w:rPr>
  </w:style>
  <w:style w:type="table" w:styleId="Tabel-Gitter">
    <w:name w:val="Table Grid"/>
    <w:basedOn w:val="Tabel-Normal"/>
    <w:uiPriority w:val="39"/>
    <w:rsid w:val="00FC5BCC"/>
    <w:pPr>
      <w:spacing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entekstfigur">
    <w:name w:val="Margentekst figur"/>
    <w:basedOn w:val="Normal"/>
    <w:link w:val="MargentekstfigurTegn"/>
    <w:rsid w:val="00FC5BCC"/>
    <w:pPr>
      <w:spacing w:after="0" w:line="240" w:lineRule="auto"/>
    </w:pPr>
    <w:rPr>
      <w:b/>
      <w:color w:val="003865" w:themeColor="text2"/>
    </w:rPr>
  </w:style>
  <w:style w:type="paragraph" w:customStyle="1" w:styleId="Undertekstfigur">
    <w:name w:val="Undertekst figur"/>
    <w:basedOn w:val="Normal"/>
    <w:link w:val="UndertekstfigurTegn"/>
    <w:qFormat/>
    <w:rsid w:val="00FC5BCC"/>
    <w:pPr>
      <w:spacing w:before="100" w:after="100"/>
    </w:pPr>
    <w:rPr>
      <w:i/>
      <w:sz w:val="19"/>
      <w:szCs w:val="19"/>
    </w:rPr>
  </w:style>
  <w:style w:type="character" w:customStyle="1" w:styleId="MargentekstfigurTegn">
    <w:name w:val="Margentekst figur Tegn"/>
    <w:basedOn w:val="Standardskrifttypeiafsnit"/>
    <w:link w:val="Margentekstfigur"/>
    <w:rsid w:val="00FC5BCC"/>
    <w:rPr>
      <w:rFonts w:ascii="Lato" w:hAnsi="Lato"/>
      <w:b/>
      <w:color w:val="003865" w:themeColor="text2"/>
      <w:sz w:val="22"/>
    </w:rPr>
  </w:style>
  <w:style w:type="paragraph" w:styleId="Fodnotetekst">
    <w:name w:val="footnote text"/>
    <w:basedOn w:val="Normal"/>
    <w:link w:val="FodnotetekstTegn"/>
    <w:uiPriority w:val="99"/>
    <w:unhideWhenUsed/>
    <w:qFormat/>
    <w:rsid w:val="00FC5BCC"/>
    <w:pPr>
      <w:spacing w:after="0"/>
    </w:pPr>
    <w:rPr>
      <w:sz w:val="16"/>
      <w:szCs w:val="16"/>
    </w:rPr>
  </w:style>
  <w:style w:type="character" w:customStyle="1" w:styleId="UndertekstfigurTegn">
    <w:name w:val="Undertekst figur Tegn"/>
    <w:basedOn w:val="Standardskrifttypeiafsnit"/>
    <w:link w:val="Undertekstfigur"/>
    <w:rsid w:val="00FC5BCC"/>
    <w:rPr>
      <w:rFonts w:ascii="Lato" w:hAnsi="Lato"/>
      <w:i/>
      <w:sz w:val="19"/>
      <w:szCs w:val="19"/>
    </w:rPr>
  </w:style>
  <w:style w:type="character" w:customStyle="1" w:styleId="FodnotetekstTegn">
    <w:name w:val="Fodnotetekst Tegn"/>
    <w:basedOn w:val="Standardskrifttypeiafsnit"/>
    <w:link w:val="Fodnotetekst"/>
    <w:uiPriority w:val="99"/>
    <w:rsid w:val="00FC5BCC"/>
    <w:rPr>
      <w:rFonts w:ascii="Lato" w:hAnsi="Lato"/>
      <w:sz w:val="16"/>
      <w:szCs w:val="16"/>
    </w:rPr>
  </w:style>
  <w:style w:type="character" w:styleId="Fodnotehenvisning">
    <w:name w:val="footnote reference"/>
    <w:basedOn w:val="Standardskrifttypeiafsnit"/>
    <w:uiPriority w:val="99"/>
    <w:semiHidden/>
    <w:unhideWhenUsed/>
    <w:rsid w:val="00FC5BCC"/>
    <w:rPr>
      <w:vertAlign w:val="superscript"/>
    </w:rPr>
  </w:style>
  <w:style w:type="paragraph" w:styleId="Sidefod">
    <w:name w:val="footer"/>
    <w:basedOn w:val="Normal"/>
    <w:link w:val="SidefodTegn"/>
    <w:uiPriority w:val="99"/>
    <w:unhideWhenUsed/>
    <w:rsid w:val="00FC5BCC"/>
    <w:pPr>
      <w:tabs>
        <w:tab w:val="center" w:pos="4819"/>
        <w:tab w:val="right" w:pos="9638"/>
      </w:tabs>
      <w:spacing w:after="0"/>
    </w:pPr>
  </w:style>
  <w:style w:type="character" w:customStyle="1" w:styleId="SidefodTegn">
    <w:name w:val="Sidefod Tegn"/>
    <w:basedOn w:val="Standardskrifttypeiafsnit"/>
    <w:link w:val="Sidefod"/>
    <w:uiPriority w:val="99"/>
    <w:rsid w:val="00FC5BCC"/>
    <w:rPr>
      <w:rFonts w:ascii="Lato" w:hAnsi="Lato"/>
      <w:sz w:val="22"/>
    </w:rPr>
  </w:style>
  <w:style w:type="paragraph" w:styleId="Sidehoved">
    <w:name w:val="header"/>
    <w:basedOn w:val="Normal"/>
    <w:link w:val="SidehovedTegn"/>
    <w:uiPriority w:val="99"/>
    <w:unhideWhenUsed/>
    <w:rsid w:val="00FC5BCC"/>
    <w:pPr>
      <w:tabs>
        <w:tab w:val="center" w:pos="4819"/>
        <w:tab w:val="right" w:pos="9638"/>
      </w:tabs>
      <w:spacing w:after="0"/>
    </w:pPr>
  </w:style>
  <w:style w:type="character" w:customStyle="1" w:styleId="SidehovedTegn">
    <w:name w:val="Sidehoved Tegn"/>
    <w:basedOn w:val="Standardskrifttypeiafsnit"/>
    <w:link w:val="Sidehoved"/>
    <w:uiPriority w:val="99"/>
    <w:rsid w:val="00FC5BCC"/>
    <w:rPr>
      <w:rFonts w:ascii="Lato" w:hAnsi="Lato"/>
      <w:sz w:val="22"/>
    </w:rPr>
  </w:style>
  <w:style w:type="paragraph" w:styleId="Markeringsbobletekst">
    <w:name w:val="Balloon Text"/>
    <w:basedOn w:val="Normal"/>
    <w:link w:val="MarkeringsbobletekstTegn"/>
    <w:uiPriority w:val="99"/>
    <w:semiHidden/>
    <w:unhideWhenUsed/>
    <w:rsid w:val="00FC5BCC"/>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5BCC"/>
    <w:rPr>
      <w:rFonts w:ascii="Tahoma" w:hAnsi="Tahoma" w:cs="Tahoma"/>
      <w:sz w:val="16"/>
      <w:szCs w:val="16"/>
    </w:rPr>
  </w:style>
  <w:style w:type="paragraph" w:customStyle="1" w:styleId="Sidefodtekst">
    <w:name w:val="Sidefodtekst"/>
    <w:basedOn w:val="Sidefod"/>
    <w:link w:val="SidefodtekstTegn"/>
    <w:rsid w:val="00FC5BCC"/>
    <w:pPr>
      <w:tabs>
        <w:tab w:val="clear" w:pos="9638"/>
        <w:tab w:val="right" w:pos="8364"/>
      </w:tabs>
      <w:jc w:val="right"/>
    </w:pPr>
    <w:rPr>
      <w:rFonts w:ascii="Bebas Neue" w:hAnsi="Bebas Neue"/>
      <w:color w:val="B0998E"/>
      <w:sz w:val="28"/>
      <w:szCs w:val="28"/>
    </w:rPr>
  </w:style>
  <w:style w:type="character" w:customStyle="1" w:styleId="SidefodtekstTegn">
    <w:name w:val="Sidefodtekst Tegn"/>
    <w:basedOn w:val="SidefodTegn"/>
    <w:link w:val="Sidefodtekst"/>
    <w:rsid w:val="00FC5BCC"/>
    <w:rPr>
      <w:rFonts w:ascii="Bebas Neue" w:hAnsi="Bebas Neue"/>
      <w:color w:val="B0998E"/>
      <w:sz w:val="28"/>
      <w:szCs w:val="28"/>
    </w:rPr>
  </w:style>
  <w:style w:type="paragraph" w:styleId="Titel">
    <w:name w:val="Title"/>
    <w:basedOn w:val="Sidehoved"/>
    <w:next w:val="Normal"/>
    <w:link w:val="TitelTegn"/>
    <w:uiPriority w:val="10"/>
    <w:rsid w:val="00FC5BCC"/>
    <w:pPr>
      <w:suppressAutoHyphens/>
      <w:spacing w:before="120" w:after="200"/>
    </w:pPr>
    <w:rPr>
      <w:rFonts w:ascii="Bebas Neue" w:hAnsi="Bebas Neue"/>
      <w:color w:val="FFFFFF" w:themeColor="background1"/>
      <w:sz w:val="52"/>
    </w:rPr>
  </w:style>
  <w:style w:type="character" w:customStyle="1" w:styleId="TitelTegn">
    <w:name w:val="Titel Tegn"/>
    <w:basedOn w:val="Standardskrifttypeiafsnit"/>
    <w:link w:val="Titel"/>
    <w:uiPriority w:val="10"/>
    <w:rsid w:val="00FC5BCC"/>
    <w:rPr>
      <w:rFonts w:ascii="Bebas Neue" w:hAnsi="Bebas Neue"/>
      <w:color w:val="FFFFFF" w:themeColor="background1"/>
      <w:sz w:val="52"/>
    </w:rPr>
  </w:style>
  <w:style w:type="character" w:styleId="Pladsholdertekst">
    <w:name w:val="Placeholder Text"/>
    <w:basedOn w:val="Standardskrifttypeiafsnit"/>
    <w:uiPriority w:val="99"/>
    <w:semiHidden/>
    <w:rsid w:val="00FC5BCC"/>
    <w:rPr>
      <w:color w:val="808080"/>
    </w:rPr>
  </w:style>
  <w:style w:type="character" w:customStyle="1" w:styleId="Overskrift1Tegn">
    <w:name w:val="Overskrift 1 Tegn"/>
    <w:basedOn w:val="Standardskrifttypeiafsnit"/>
    <w:link w:val="Overskrift1"/>
    <w:uiPriority w:val="9"/>
    <w:rsid w:val="00FC5BCC"/>
    <w:rPr>
      <w:rFonts w:ascii="Bebas Neue" w:eastAsiaTheme="majorEastAsia" w:hAnsi="Bebas Neue" w:cstheme="majorBidi"/>
      <w:bCs/>
      <w:color w:val="07385E"/>
      <w:sz w:val="36"/>
      <w:szCs w:val="36"/>
    </w:rPr>
  </w:style>
  <w:style w:type="paragraph" w:customStyle="1" w:styleId="Sidehovedtekst">
    <w:name w:val="Sidehovedtekst"/>
    <w:basedOn w:val="Sidehoved"/>
    <w:link w:val="SidehovedtekstTegn"/>
    <w:rsid w:val="00FC5BCC"/>
    <w:pPr>
      <w:jc w:val="right"/>
    </w:pPr>
    <w:rPr>
      <w:rFonts w:ascii="Bebas Neue" w:hAnsi="Bebas Neue"/>
      <w:color w:val="07385E"/>
      <w:sz w:val="30"/>
      <w:szCs w:val="30"/>
    </w:rPr>
  </w:style>
  <w:style w:type="character" w:customStyle="1" w:styleId="SidehovedtekstTegn">
    <w:name w:val="Sidehovedtekst Tegn"/>
    <w:basedOn w:val="SidehovedTegn"/>
    <w:link w:val="Sidehovedtekst"/>
    <w:rsid w:val="00FC5BCC"/>
    <w:rPr>
      <w:rFonts w:ascii="Bebas Neue" w:hAnsi="Bebas Neue"/>
      <w:color w:val="07385E"/>
      <w:sz w:val="30"/>
      <w:szCs w:val="30"/>
    </w:rPr>
  </w:style>
  <w:style w:type="paragraph" w:customStyle="1" w:styleId="Tabeltekst">
    <w:name w:val="Tabeltekst"/>
    <w:basedOn w:val="Normal"/>
    <w:link w:val="TabeltekstTegn"/>
    <w:qFormat/>
    <w:rsid w:val="00FC5BCC"/>
    <w:pPr>
      <w:keepNext/>
      <w:keepLines/>
      <w:spacing w:after="0"/>
    </w:pPr>
    <w:rPr>
      <w:bCs/>
      <w:sz w:val="18"/>
      <w:szCs w:val="18"/>
      <w:lang w:eastAsia="da-DK"/>
    </w:rPr>
  </w:style>
  <w:style w:type="character" w:customStyle="1" w:styleId="TabeltekstTegn">
    <w:name w:val="Tabeltekst Tegn"/>
    <w:basedOn w:val="Standardskrifttypeiafsnit"/>
    <w:link w:val="Tabeltekst"/>
    <w:rsid w:val="00FC5BCC"/>
    <w:rPr>
      <w:rFonts w:ascii="Lato" w:hAnsi="Lato"/>
      <w:bCs/>
      <w:sz w:val="18"/>
      <w:szCs w:val="18"/>
      <w:lang w:eastAsia="da-DK"/>
    </w:rPr>
  </w:style>
  <w:style w:type="table" w:customStyle="1" w:styleId="CEPOS-tabeludenfrstekolonne">
    <w:name w:val="CEPOS-tabel uden første kolonne"/>
    <w:basedOn w:val="Mediumskygge1-farve1"/>
    <w:uiPriority w:val="99"/>
    <w:rsid w:val="00FC5BCC"/>
    <w:rPr>
      <w:rFonts w:ascii="Lato" w:hAnsi="Lato"/>
      <w:sz w:val="21"/>
      <w:szCs w:val="20"/>
      <w:lang w:val="en-US" w:eastAsia="da-DK"/>
    </w:rPr>
    <w:tblPr>
      <w:tblBorders>
        <w:top w:val="single" w:sz="4" w:space="0" w:color="07385E"/>
        <w:left w:val="single" w:sz="4" w:space="0" w:color="07385E"/>
        <w:bottom w:val="single" w:sz="4" w:space="0" w:color="07385E"/>
        <w:right w:val="single" w:sz="4" w:space="0" w:color="07385E"/>
        <w:insideH w:val="single" w:sz="4" w:space="0" w:color="07385E"/>
      </w:tblBorders>
    </w:tblPr>
    <w:tcPr>
      <w:vAlign w:val="center"/>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7385E"/>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tcPr>
    </w:tblStylePr>
  </w:style>
  <w:style w:type="table" w:styleId="Mediumskygge1-farve1">
    <w:name w:val="Medium Shading 1 Accent 1"/>
    <w:basedOn w:val="Tabel-Normal"/>
    <w:uiPriority w:val="63"/>
    <w:rsid w:val="00FC5BCC"/>
    <w:pPr>
      <w:spacing w:line="240" w:lineRule="auto"/>
    </w:pPr>
    <w:tblPr>
      <w:tblStyleRowBandSize w:val="1"/>
      <w:tblStyleColBandSize w:val="1"/>
      <w:tblBorders>
        <w:top w:val="single" w:sz="8" w:space="0" w:color="0070CB" w:themeColor="accent1" w:themeTint="BF"/>
        <w:left w:val="single" w:sz="8" w:space="0" w:color="0070CB" w:themeColor="accent1" w:themeTint="BF"/>
        <w:bottom w:val="single" w:sz="8" w:space="0" w:color="0070CB" w:themeColor="accent1" w:themeTint="BF"/>
        <w:right w:val="single" w:sz="8" w:space="0" w:color="0070CB" w:themeColor="accent1" w:themeTint="BF"/>
        <w:insideH w:val="single" w:sz="8" w:space="0" w:color="0070CB" w:themeColor="accent1" w:themeTint="BF"/>
      </w:tblBorders>
    </w:tblPr>
    <w:tblStylePr w:type="firstRow">
      <w:pPr>
        <w:spacing w:before="0" w:after="0" w:line="240" w:lineRule="auto"/>
      </w:pPr>
      <w:rPr>
        <w:b/>
        <w:bCs/>
        <w:color w:val="FFFFFF" w:themeColor="background1"/>
      </w:rPr>
      <w:tblPr/>
      <w:tcPr>
        <w:tcBorders>
          <w:top w:val="single" w:sz="8" w:space="0" w:color="0070CB" w:themeColor="accent1" w:themeTint="BF"/>
          <w:left w:val="single" w:sz="8" w:space="0" w:color="0070CB" w:themeColor="accent1" w:themeTint="BF"/>
          <w:bottom w:val="single" w:sz="8" w:space="0" w:color="0070CB" w:themeColor="accent1" w:themeTint="BF"/>
          <w:right w:val="single" w:sz="8" w:space="0" w:color="0070CB" w:themeColor="accent1" w:themeTint="BF"/>
          <w:insideH w:val="nil"/>
          <w:insideV w:val="nil"/>
        </w:tcBorders>
        <w:shd w:val="clear" w:color="auto" w:fill="003865" w:themeFill="accent1"/>
      </w:tcPr>
    </w:tblStylePr>
    <w:tblStylePr w:type="lastRow">
      <w:pPr>
        <w:spacing w:before="0" w:after="0" w:line="240" w:lineRule="auto"/>
      </w:pPr>
      <w:rPr>
        <w:b/>
        <w:bCs/>
      </w:rPr>
      <w:tblPr/>
      <w:tcPr>
        <w:tcBorders>
          <w:top w:val="double" w:sz="6" w:space="0" w:color="0070CB" w:themeColor="accent1" w:themeTint="BF"/>
          <w:left w:val="single" w:sz="8" w:space="0" w:color="0070CB" w:themeColor="accent1" w:themeTint="BF"/>
          <w:bottom w:val="single" w:sz="8" w:space="0" w:color="0070CB" w:themeColor="accent1" w:themeTint="BF"/>
          <w:right w:val="single" w:sz="8" w:space="0" w:color="0070C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9D1FF" w:themeFill="accent1" w:themeFillTint="3F"/>
      </w:tcPr>
    </w:tblStylePr>
    <w:tblStylePr w:type="band1Horz">
      <w:tblPr/>
      <w:tcPr>
        <w:tcBorders>
          <w:insideH w:val="nil"/>
          <w:insideV w:val="nil"/>
        </w:tcBorders>
        <w:shd w:val="clear" w:color="auto" w:fill="99D1FF" w:themeFill="accent1" w:themeFillTint="3F"/>
      </w:tcPr>
    </w:tblStylePr>
    <w:tblStylePr w:type="band2Horz">
      <w:tblPr/>
      <w:tcPr>
        <w:tcBorders>
          <w:insideH w:val="nil"/>
          <w:insideV w:val="nil"/>
        </w:tcBorders>
      </w:tcPr>
    </w:tblStylePr>
  </w:style>
  <w:style w:type="paragraph" w:styleId="Ingenafstand">
    <w:name w:val="No Spacing"/>
    <w:uiPriority w:val="1"/>
    <w:qFormat/>
    <w:rsid w:val="00FC5BCC"/>
    <w:pPr>
      <w:spacing w:line="240" w:lineRule="auto"/>
    </w:pPr>
    <w:rPr>
      <w:rFonts w:ascii="Lato" w:hAnsi="Lato" w:cstheme="minorBidi"/>
      <w:sz w:val="22"/>
    </w:rPr>
  </w:style>
  <w:style w:type="paragraph" w:customStyle="1" w:styleId="Default">
    <w:name w:val="Default"/>
    <w:rsid w:val="00FC5BCC"/>
    <w:pPr>
      <w:autoSpaceDE w:val="0"/>
      <w:autoSpaceDN w:val="0"/>
      <w:adjustRightInd w:val="0"/>
      <w:spacing w:line="240" w:lineRule="auto"/>
    </w:pPr>
    <w:rPr>
      <w:rFonts w:ascii="Arial" w:hAnsi="Arial" w:cs="Arial"/>
      <w:color w:val="000000"/>
      <w:szCs w:val="24"/>
    </w:rPr>
  </w:style>
  <w:style w:type="paragraph" w:customStyle="1" w:styleId="Logo">
    <w:name w:val="Logo"/>
    <w:basedOn w:val="Normal"/>
    <w:link w:val="LogoTegn"/>
    <w:qFormat/>
    <w:rsid w:val="00FC5BCC"/>
    <w:rPr>
      <w:rFonts w:ascii="Bingo Serif" w:hAnsi="Bingo Serif"/>
      <w:color w:val="003865" w:themeColor="text2"/>
      <w:sz w:val="56"/>
      <w:lang w:eastAsia="da-DK"/>
    </w:rPr>
  </w:style>
  <w:style w:type="paragraph" w:customStyle="1" w:styleId="StorLogo">
    <w:name w:val="StorLogo"/>
    <w:basedOn w:val="Normal"/>
    <w:link w:val="StorLogoTegn"/>
    <w:rsid w:val="00FC5BCC"/>
    <w:rPr>
      <w:rFonts w:ascii="Bingo Serif" w:hAnsi="Bingo Serif"/>
      <w:color w:val="D9D9D6"/>
      <w:sz w:val="760"/>
      <w:szCs w:val="760"/>
    </w:rPr>
  </w:style>
  <w:style w:type="character" w:customStyle="1" w:styleId="LogoTegn">
    <w:name w:val="Logo Tegn"/>
    <w:basedOn w:val="Standardskrifttypeiafsnit"/>
    <w:link w:val="Logo"/>
    <w:rsid w:val="00FC5BCC"/>
    <w:rPr>
      <w:rFonts w:ascii="Bingo Serif" w:hAnsi="Bingo Serif"/>
      <w:color w:val="003865" w:themeColor="text2"/>
      <w:sz w:val="56"/>
      <w:lang w:eastAsia="da-DK"/>
    </w:rPr>
  </w:style>
  <w:style w:type="paragraph" w:styleId="Slutnotetekst">
    <w:name w:val="endnote text"/>
    <w:basedOn w:val="Normal"/>
    <w:link w:val="SlutnotetekstTegn"/>
    <w:uiPriority w:val="99"/>
    <w:semiHidden/>
    <w:unhideWhenUsed/>
    <w:rsid w:val="00FC5BCC"/>
    <w:pPr>
      <w:spacing w:after="0"/>
    </w:pPr>
    <w:rPr>
      <w:szCs w:val="20"/>
    </w:rPr>
  </w:style>
  <w:style w:type="character" w:customStyle="1" w:styleId="StorLogoTegn">
    <w:name w:val="StorLogo Tegn"/>
    <w:basedOn w:val="Standardskrifttypeiafsnit"/>
    <w:link w:val="StorLogo"/>
    <w:rsid w:val="00FC5BCC"/>
    <w:rPr>
      <w:rFonts w:ascii="Bingo Serif" w:hAnsi="Bingo Serif"/>
      <w:color w:val="D9D9D6"/>
      <w:sz w:val="760"/>
      <w:szCs w:val="760"/>
    </w:rPr>
  </w:style>
  <w:style w:type="character" w:customStyle="1" w:styleId="SlutnotetekstTegn">
    <w:name w:val="Slutnotetekst Tegn"/>
    <w:basedOn w:val="Standardskrifttypeiafsnit"/>
    <w:link w:val="Slutnotetekst"/>
    <w:uiPriority w:val="99"/>
    <w:semiHidden/>
    <w:rsid w:val="00FC5BCC"/>
    <w:rPr>
      <w:rFonts w:ascii="Lato" w:hAnsi="Lato"/>
      <w:sz w:val="22"/>
      <w:szCs w:val="20"/>
    </w:rPr>
  </w:style>
  <w:style w:type="character" w:styleId="Slutnotehenvisning">
    <w:name w:val="endnote reference"/>
    <w:basedOn w:val="Standardskrifttypeiafsnit"/>
    <w:uiPriority w:val="99"/>
    <w:semiHidden/>
    <w:unhideWhenUsed/>
    <w:rsid w:val="00FC5BCC"/>
    <w:rPr>
      <w:vertAlign w:val="superscript"/>
    </w:rPr>
  </w:style>
  <w:style w:type="paragraph" w:customStyle="1" w:styleId="StortLogo">
    <w:name w:val="StortLogo"/>
    <w:basedOn w:val="Normal"/>
    <w:link w:val="StortLogoTegn"/>
    <w:rsid w:val="00FC5BCC"/>
  </w:style>
  <w:style w:type="character" w:customStyle="1" w:styleId="StortLogoTegn">
    <w:name w:val="StortLogo Tegn"/>
    <w:basedOn w:val="Standardskrifttypeiafsnit"/>
    <w:link w:val="StortLogo"/>
    <w:rsid w:val="00FC5BCC"/>
    <w:rPr>
      <w:rFonts w:ascii="Lato" w:hAnsi="Lato"/>
      <w:sz w:val="22"/>
    </w:rPr>
  </w:style>
  <w:style w:type="character" w:styleId="Kommentarhenvisning">
    <w:name w:val="annotation reference"/>
    <w:basedOn w:val="Standardskrifttypeiafsnit"/>
    <w:uiPriority w:val="99"/>
    <w:semiHidden/>
    <w:unhideWhenUsed/>
    <w:rsid w:val="00FC5BCC"/>
    <w:rPr>
      <w:sz w:val="16"/>
      <w:szCs w:val="16"/>
    </w:rPr>
  </w:style>
  <w:style w:type="paragraph" w:styleId="Kommentartekst">
    <w:name w:val="annotation text"/>
    <w:basedOn w:val="Normal"/>
    <w:link w:val="KommentartekstTegn"/>
    <w:uiPriority w:val="99"/>
    <w:unhideWhenUsed/>
    <w:rsid w:val="00FC5BCC"/>
    <w:pPr>
      <w:spacing w:line="240" w:lineRule="auto"/>
    </w:pPr>
    <w:rPr>
      <w:sz w:val="20"/>
      <w:szCs w:val="20"/>
    </w:rPr>
  </w:style>
  <w:style w:type="character" w:customStyle="1" w:styleId="KommentartekstTegn">
    <w:name w:val="Kommentartekst Tegn"/>
    <w:basedOn w:val="Standardskrifttypeiafsnit"/>
    <w:link w:val="Kommentartekst"/>
    <w:uiPriority w:val="99"/>
    <w:rsid w:val="00FC5BCC"/>
    <w:rPr>
      <w:rFonts w:ascii="Lato" w:hAnsi="Lato"/>
      <w:sz w:val="20"/>
      <w:szCs w:val="20"/>
    </w:rPr>
  </w:style>
  <w:style w:type="paragraph" w:styleId="Kommentaremne">
    <w:name w:val="annotation subject"/>
    <w:basedOn w:val="Kommentartekst"/>
    <w:next w:val="Kommentartekst"/>
    <w:link w:val="KommentaremneTegn"/>
    <w:uiPriority w:val="99"/>
    <w:semiHidden/>
    <w:unhideWhenUsed/>
    <w:rsid w:val="00FC5BCC"/>
    <w:rPr>
      <w:b/>
      <w:bCs/>
    </w:rPr>
  </w:style>
  <w:style w:type="character" w:customStyle="1" w:styleId="KommentaremneTegn">
    <w:name w:val="Kommentaremne Tegn"/>
    <w:basedOn w:val="KommentartekstTegn"/>
    <w:link w:val="Kommentaremne"/>
    <w:uiPriority w:val="99"/>
    <w:semiHidden/>
    <w:rsid w:val="00FC5BCC"/>
    <w:rPr>
      <w:rFonts w:ascii="Lato" w:hAnsi="Lato"/>
      <w:b/>
      <w:bCs/>
      <w:sz w:val="20"/>
      <w:szCs w:val="20"/>
    </w:rPr>
  </w:style>
  <w:style w:type="table" w:customStyle="1" w:styleId="Tabel-Gitter1">
    <w:name w:val="Tabel - Gitter1"/>
    <w:basedOn w:val="Tabel-Normal"/>
    <w:next w:val="Tabel-Gitter"/>
    <w:uiPriority w:val="39"/>
    <w:rsid w:val="004B0850"/>
    <w:pPr>
      <w:spacing w:line="240" w:lineRule="auto"/>
      <w:contextualSpacing/>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7Tegn">
    <w:name w:val="Overskrift 7 Tegn"/>
    <w:basedOn w:val="Standardskrifttypeiafsnit"/>
    <w:link w:val="Overskrift7"/>
    <w:uiPriority w:val="9"/>
    <w:semiHidden/>
    <w:rsid w:val="00FC5BCC"/>
    <w:rPr>
      <w:rFonts w:asciiTheme="majorHAnsi" w:eastAsiaTheme="majorEastAsia" w:hAnsiTheme="majorHAnsi" w:cstheme="majorBidi"/>
      <w:i/>
      <w:iCs/>
      <w:color w:val="001B32" w:themeColor="accent1" w:themeShade="7F"/>
      <w:sz w:val="22"/>
    </w:rPr>
  </w:style>
  <w:style w:type="character" w:customStyle="1" w:styleId="Overskrift8Tegn">
    <w:name w:val="Overskrift 8 Tegn"/>
    <w:basedOn w:val="Standardskrifttypeiafsnit"/>
    <w:link w:val="Overskrift8"/>
    <w:uiPriority w:val="9"/>
    <w:semiHidden/>
    <w:rsid w:val="00FC5BCC"/>
    <w:rPr>
      <w:rFonts w:asciiTheme="majorHAnsi" w:eastAsiaTheme="majorEastAsia" w:hAnsiTheme="majorHAnsi" w:cstheme="majorBidi"/>
      <w:color w:val="505354" w:themeColor="text1" w:themeTint="D8"/>
      <w:sz w:val="21"/>
      <w:szCs w:val="21"/>
    </w:rPr>
  </w:style>
  <w:style w:type="character" w:customStyle="1" w:styleId="Overskrift9Tegn">
    <w:name w:val="Overskrift 9 Tegn"/>
    <w:basedOn w:val="Standardskrifttypeiafsnit"/>
    <w:link w:val="Overskrift9"/>
    <w:uiPriority w:val="9"/>
    <w:semiHidden/>
    <w:rsid w:val="00FC5BCC"/>
    <w:rPr>
      <w:rFonts w:asciiTheme="majorHAnsi" w:eastAsiaTheme="majorEastAsia" w:hAnsiTheme="majorHAnsi" w:cstheme="majorBidi"/>
      <w:i/>
      <w:iCs/>
      <w:color w:val="505354" w:themeColor="text1" w:themeTint="D8"/>
      <w:sz w:val="21"/>
      <w:szCs w:val="21"/>
    </w:rPr>
  </w:style>
  <w:style w:type="paragraph" w:styleId="NormalWeb">
    <w:name w:val="Normal (Web)"/>
    <w:basedOn w:val="Normal"/>
    <w:uiPriority w:val="99"/>
    <w:semiHidden/>
    <w:unhideWhenUsed/>
    <w:rsid w:val="00FC5BCC"/>
    <w:pPr>
      <w:spacing w:before="100" w:beforeAutospacing="1" w:after="100" w:afterAutospacing="1" w:line="240" w:lineRule="auto"/>
    </w:pPr>
    <w:rPr>
      <w:rFonts w:ascii="Times New Roman" w:eastAsiaTheme="minorEastAsia" w:hAnsi="Times New Roman"/>
      <w:sz w:val="24"/>
      <w:szCs w:val="24"/>
      <w:lang w:eastAsia="da-DK"/>
    </w:rPr>
  </w:style>
  <w:style w:type="paragraph" w:styleId="Indholdsfortegnelse1">
    <w:name w:val="toc 1"/>
    <w:basedOn w:val="Normal"/>
    <w:next w:val="Normal"/>
    <w:autoRedefine/>
    <w:uiPriority w:val="39"/>
    <w:unhideWhenUsed/>
    <w:rsid w:val="00FC5BCC"/>
    <w:pPr>
      <w:tabs>
        <w:tab w:val="right" w:leader="dot" w:pos="9202"/>
      </w:tabs>
      <w:spacing w:after="100"/>
      <w:ind w:left="567" w:hanging="567"/>
    </w:pPr>
  </w:style>
  <w:style w:type="character" w:styleId="Hyperlink">
    <w:name w:val="Hyperlink"/>
    <w:basedOn w:val="Standardskrifttypeiafsnit"/>
    <w:uiPriority w:val="99"/>
    <w:unhideWhenUsed/>
    <w:rsid w:val="00FC5BCC"/>
    <w:rPr>
      <w:color w:val="BCA9A0" w:themeColor="hyperlink"/>
      <w:u w:val="single"/>
    </w:rPr>
  </w:style>
  <w:style w:type="paragraph" w:customStyle="1" w:styleId="NumberedHeading1">
    <w:name w:val="Numbered Heading 1"/>
    <w:basedOn w:val="Overskrift2"/>
    <w:next w:val="Normal"/>
    <w:link w:val="NumberedHeading1Char"/>
    <w:rsid w:val="00FC5BCC"/>
    <w:pPr>
      <w:numPr>
        <w:ilvl w:val="0"/>
        <w:numId w:val="27"/>
      </w:numPr>
      <w:ind w:left="426" w:hanging="392"/>
    </w:pPr>
    <w:rPr>
      <w:noProof/>
      <w:sz w:val="36"/>
      <w:lang w:eastAsia="da-DK"/>
    </w:rPr>
  </w:style>
  <w:style w:type="character" w:customStyle="1" w:styleId="NumberedHeading1Char">
    <w:name w:val="Numbered Heading 1 Char"/>
    <w:basedOn w:val="Overskrift2Tegn"/>
    <w:link w:val="NumberedHeading1"/>
    <w:rsid w:val="00FC5BCC"/>
    <w:rPr>
      <w:rFonts w:ascii="Bebas Neue" w:eastAsiaTheme="majorEastAsia" w:hAnsi="Bebas Neue" w:cstheme="majorBidi"/>
      <w:bCs/>
      <w:noProof/>
      <w:color w:val="07385E"/>
      <w:sz w:val="36"/>
      <w:szCs w:val="24"/>
      <w:lang w:eastAsia="da-DK"/>
    </w:rPr>
  </w:style>
  <w:style w:type="paragraph" w:styleId="Indholdsfortegnelse2">
    <w:name w:val="toc 2"/>
    <w:basedOn w:val="Normal"/>
    <w:next w:val="Normal"/>
    <w:autoRedefine/>
    <w:uiPriority w:val="39"/>
    <w:unhideWhenUsed/>
    <w:rsid w:val="00FC5BCC"/>
    <w:pPr>
      <w:tabs>
        <w:tab w:val="right" w:leader="dot" w:pos="9202"/>
      </w:tabs>
      <w:spacing w:after="100"/>
      <w:ind w:left="567" w:hanging="425"/>
    </w:pPr>
  </w:style>
  <w:style w:type="character" w:customStyle="1" w:styleId="UnresolvedMention1">
    <w:name w:val="Unresolved Mention1"/>
    <w:basedOn w:val="Standardskrifttypeiafsnit"/>
    <w:uiPriority w:val="99"/>
    <w:semiHidden/>
    <w:unhideWhenUsed/>
    <w:rsid w:val="00FC5BCC"/>
    <w:rPr>
      <w:color w:val="808080"/>
      <w:shd w:val="clear" w:color="auto" w:fill="E6E6E6"/>
    </w:rPr>
  </w:style>
  <w:style w:type="character" w:styleId="BesgtLink">
    <w:name w:val="FollowedHyperlink"/>
    <w:basedOn w:val="Standardskrifttypeiafsnit"/>
    <w:uiPriority w:val="99"/>
    <w:semiHidden/>
    <w:unhideWhenUsed/>
    <w:rsid w:val="00FC5BCC"/>
    <w:rPr>
      <w:color w:val="003865" w:themeColor="followedHyperlink"/>
      <w:u w:val="single"/>
    </w:rPr>
  </w:style>
  <w:style w:type="paragraph" w:styleId="Brdtekst">
    <w:name w:val="Body Text"/>
    <w:basedOn w:val="Normal"/>
    <w:link w:val="BrdtekstTegn"/>
    <w:uiPriority w:val="99"/>
    <w:unhideWhenUsed/>
    <w:rsid w:val="00FC5BCC"/>
    <w:pPr>
      <w:spacing w:after="120"/>
    </w:pPr>
  </w:style>
  <w:style w:type="character" w:customStyle="1" w:styleId="BrdtekstTegn">
    <w:name w:val="Brødtekst Tegn"/>
    <w:basedOn w:val="Standardskrifttypeiafsnit"/>
    <w:link w:val="Brdtekst"/>
    <w:uiPriority w:val="99"/>
    <w:rsid w:val="00FC5BCC"/>
    <w:rPr>
      <w:rFonts w:ascii="Lato" w:hAnsi="Lato"/>
      <w:sz w:val="22"/>
    </w:rPr>
  </w:style>
  <w:style w:type="table" w:customStyle="1" w:styleId="TableGridLight1">
    <w:name w:val="Table Grid Light1"/>
    <w:basedOn w:val="Tabel-Normal"/>
    <w:uiPriority w:val="40"/>
    <w:rsid w:val="00FC5BC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lledtekst">
    <w:name w:val="caption"/>
    <w:basedOn w:val="Normal"/>
    <w:next w:val="Normal"/>
    <w:uiPriority w:val="35"/>
    <w:unhideWhenUsed/>
    <w:qFormat/>
    <w:rsid w:val="00FC5BCC"/>
    <w:pPr>
      <w:spacing w:after="200" w:line="240" w:lineRule="auto"/>
    </w:pPr>
    <w:rPr>
      <w:i/>
      <w:iCs/>
      <w:color w:val="003865" w:themeColor="text2"/>
      <w:sz w:val="18"/>
      <w:szCs w:val="18"/>
    </w:rPr>
  </w:style>
  <w:style w:type="paragraph" w:customStyle="1" w:styleId="Footnotes">
    <w:name w:val="Footnotes"/>
    <w:basedOn w:val="Fodnotetekst"/>
    <w:link w:val="FootnotesChar"/>
    <w:rsid w:val="00FC5BCC"/>
    <w:pPr>
      <w:spacing w:after="240"/>
      <w:ind w:left="98" w:hanging="98"/>
    </w:pPr>
  </w:style>
  <w:style w:type="character" w:customStyle="1" w:styleId="FootnotesChar">
    <w:name w:val="Footnotes Char"/>
    <w:basedOn w:val="FodnotetekstTegn"/>
    <w:link w:val="Footnotes"/>
    <w:rsid w:val="00FC5BCC"/>
    <w:rPr>
      <w:rFonts w:ascii="Lato" w:hAnsi="Lato"/>
      <w:sz w:val="16"/>
      <w:szCs w:val="16"/>
    </w:rPr>
  </w:style>
  <w:style w:type="paragraph" w:styleId="Korrektur">
    <w:name w:val="Revision"/>
    <w:hidden/>
    <w:uiPriority w:val="99"/>
    <w:semiHidden/>
    <w:rsid w:val="00FC5BCC"/>
    <w:pPr>
      <w:spacing w:line="240" w:lineRule="auto"/>
    </w:pPr>
    <w:rPr>
      <w:rFonts w:ascii="Lato" w:hAnsi="Lato"/>
      <w:sz w:val="22"/>
    </w:rPr>
  </w:style>
  <w:style w:type="paragraph" w:styleId="Bibliografi">
    <w:name w:val="Bibliography"/>
    <w:basedOn w:val="Normal"/>
    <w:next w:val="Normal"/>
    <w:uiPriority w:val="37"/>
    <w:unhideWhenUsed/>
    <w:rsid w:val="00FC5BCC"/>
    <w:pPr>
      <w:spacing w:after="0" w:line="240" w:lineRule="auto"/>
      <w:ind w:left="720" w:hanging="720"/>
    </w:pPr>
  </w:style>
  <w:style w:type="character" w:customStyle="1" w:styleId="fontstyle01">
    <w:name w:val="fontstyle01"/>
    <w:basedOn w:val="Standardskrifttypeiafsnit"/>
    <w:rsid w:val="00FC5BCC"/>
    <w:rPr>
      <w:rFonts w:ascii="Lato-Regular" w:hAnsi="Lato-Regular" w:hint="default"/>
      <w:b w:val="0"/>
      <w:bCs w:val="0"/>
      <w:i w:val="0"/>
      <w:iCs w:val="0"/>
      <w:color w:val="000000"/>
      <w:sz w:val="22"/>
      <w:szCs w:val="22"/>
    </w:rPr>
  </w:style>
  <w:style w:type="paragraph" w:customStyle="1" w:styleId="Figur-titel">
    <w:name w:val="Figur-titel"/>
    <w:basedOn w:val="Margentekstfigur"/>
    <w:link w:val="Figur-titelChar"/>
    <w:qFormat/>
    <w:rsid w:val="00FC5BCC"/>
    <w:pPr>
      <w:keepNext/>
      <w:keepLines/>
      <w:ind w:left="890" w:hanging="890"/>
    </w:pPr>
    <w:rPr>
      <w:bCs/>
      <w:color w:val="FFFFFF" w:themeColor="background1"/>
      <w:szCs w:val="20"/>
      <w:lang w:eastAsia="da-DK"/>
    </w:rPr>
  </w:style>
  <w:style w:type="character" w:customStyle="1" w:styleId="Figur-titelChar">
    <w:name w:val="Figur-titel Char"/>
    <w:basedOn w:val="MargentekstfigurTegn"/>
    <w:link w:val="Figur-titel"/>
    <w:rsid w:val="00FC5BCC"/>
    <w:rPr>
      <w:rFonts w:ascii="Lato" w:hAnsi="Lato"/>
      <w:b/>
      <w:bCs/>
      <w:color w:val="FFFFFF" w:themeColor="background1"/>
      <w:sz w:val="22"/>
      <w:szCs w:val="20"/>
      <w:lang w:eastAsia="da-DK"/>
    </w:rPr>
  </w:style>
  <w:style w:type="paragraph" w:styleId="Overskrift">
    <w:name w:val="TOC Heading"/>
    <w:basedOn w:val="Overskrift1"/>
    <w:next w:val="Normal"/>
    <w:uiPriority w:val="39"/>
    <w:unhideWhenUsed/>
    <w:qFormat/>
    <w:rsid w:val="00FC5BCC"/>
    <w:pPr>
      <w:numPr>
        <w:numId w:val="0"/>
      </w:numPr>
      <w:spacing w:before="240" w:line="259" w:lineRule="auto"/>
      <w:outlineLvl w:val="9"/>
    </w:pPr>
    <w:rPr>
      <w:rFonts w:asciiTheme="majorHAnsi" w:hAnsiTheme="majorHAnsi"/>
      <w:bCs w:val="0"/>
      <w:color w:val="00294B" w:themeColor="accent1" w:themeShade="BF"/>
      <w:sz w:val="32"/>
      <w:szCs w:val="32"/>
      <w:lang w:eastAsia="da-DK"/>
    </w:rPr>
  </w:style>
  <w:style w:type="table" w:styleId="Gittertabel1-lys-farve1">
    <w:name w:val="Grid Table 1 Light Accent 1"/>
    <w:basedOn w:val="Tabel-Normal"/>
    <w:uiPriority w:val="46"/>
    <w:rsid w:val="00ED3AC4"/>
    <w:pPr>
      <w:spacing w:line="240" w:lineRule="auto"/>
    </w:pPr>
    <w:tblPr>
      <w:tblStyleRowBandSize w:val="1"/>
      <w:tblStyleColBandSize w:val="1"/>
      <w:tblBorders>
        <w:top w:val="single" w:sz="4" w:space="0" w:color="5BB5FF" w:themeColor="accent1" w:themeTint="66"/>
        <w:left w:val="single" w:sz="4" w:space="0" w:color="5BB5FF" w:themeColor="accent1" w:themeTint="66"/>
        <w:bottom w:val="single" w:sz="4" w:space="0" w:color="5BB5FF" w:themeColor="accent1" w:themeTint="66"/>
        <w:right w:val="single" w:sz="4" w:space="0" w:color="5BB5FF" w:themeColor="accent1" w:themeTint="66"/>
        <w:insideH w:val="single" w:sz="4" w:space="0" w:color="5BB5FF" w:themeColor="accent1" w:themeTint="66"/>
        <w:insideV w:val="single" w:sz="4" w:space="0" w:color="5BB5FF" w:themeColor="accent1" w:themeTint="66"/>
      </w:tblBorders>
    </w:tblPr>
    <w:tblStylePr w:type="firstRow">
      <w:rPr>
        <w:b/>
        <w:bCs/>
      </w:rPr>
      <w:tblPr/>
      <w:tcPr>
        <w:tcBorders>
          <w:bottom w:val="single" w:sz="12" w:space="0" w:color="0991FF" w:themeColor="accent1" w:themeTint="99"/>
        </w:tcBorders>
      </w:tcPr>
    </w:tblStylePr>
    <w:tblStylePr w:type="lastRow">
      <w:rPr>
        <w:b/>
        <w:bCs/>
      </w:rPr>
      <w:tblPr/>
      <w:tcPr>
        <w:tcBorders>
          <w:top w:val="double" w:sz="2" w:space="0" w:color="0991FF" w:themeColor="accent1" w:themeTint="99"/>
        </w:tcBorders>
      </w:tcPr>
    </w:tblStylePr>
    <w:tblStylePr w:type="firstCol">
      <w:rPr>
        <w:b/>
        <w:bCs/>
      </w:rPr>
    </w:tblStylePr>
    <w:tblStylePr w:type="lastCol">
      <w:rPr>
        <w:b/>
        <w:bCs/>
      </w:rPr>
    </w:tblStylePr>
  </w:style>
  <w:style w:type="character" w:styleId="Strk">
    <w:name w:val="Strong"/>
    <w:basedOn w:val="Standardskrifttypeiafsnit"/>
    <w:uiPriority w:val="22"/>
    <w:qFormat/>
    <w:rsid w:val="00C94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2927">
      <w:bodyDiv w:val="1"/>
      <w:marLeft w:val="0"/>
      <w:marRight w:val="0"/>
      <w:marTop w:val="0"/>
      <w:marBottom w:val="0"/>
      <w:divBdr>
        <w:top w:val="none" w:sz="0" w:space="0" w:color="auto"/>
        <w:left w:val="none" w:sz="0" w:space="0" w:color="auto"/>
        <w:bottom w:val="none" w:sz="0" w:space="0" w:color="auto"/>
        <w:right w:val="none" w:sz="0" w:space="0" w:color="auto"/>
      </w:divBdr>
    </w:div>
    <w:div w:id="269627504">
      <w:bodyDiv w:val="1"/>
      <w:marLeft w:val="0"/>
      <w:marRight w:val="0"/>
      <w:marTop w:val="0"/>
      <w:marBottom w:val="0"/>
      <w:divBdr>
        <w:top w:val="none" w:sz="0" w:space="0" w:color="auto"/>
        <w:left w:val="none" w:sz="0" w:space="0" w:color="auto"/>
        <w:bottom w:val="none" w:sz="0" w:space="0" w:color="auto"/>
        <w:right w:val="none" w:sz="0" w:space="0" w:color="auto"/>
      </w:divBdr>
    </w:div>
    <w:div w:id="576861435">
      <w:bodyDiv w:val="1"/>
      <w:marLeft w:val="0"/>
      <w:marRight w:val="0"/>
      <w:marTop w:val="0"/>
      <w:marBottom w:val="0"/>
      <w:divBdr>
        <w:top w:val="none" w:sz="0" w:space="0" w:color="auto"/>
        <w:left w:val="none" w:sz="0" w:space="0" w:color="auto"/>
        <w:bottom w:val="none" w:sz="0" w:space="0" w:color="auto"/>
        <w:right w:val="none" w:sz="0" w:space="0" w:color="auto"/>
      </w:divBdr>
    </w:div>
    <w:div w:id="583878912">
      <w:bodyDiv w:val="1"/>
      <w:marLeft w:val="0"/>
      <w:marRight w:val="0"/>
      <w:marTop w:val="0"/>
      <w:marBottom w:val="0"/>
      <w:divBdr>
        <w:top w:val="none" w:sz="0" w:space="0" w:color="auto"/>
        <w:left w:val="none" w:sz="0" w:space="0" w:color="auto"/>
        <w:bottom w:val="none" w:sz="0" w:space="0" w:color="auto"/>
        <w:right w:val="none" w:sz="0" w:space="0" w:color="auto"/>
      </w:divBdr>
      <w:divsChild>
        <w:div w:id="1415080141">
          <w:marLeft w:val="0"/>
          <w:marRight w:val="0"/>
          <w:marTop w:val="0"/>
          <w:marBottom w:val="0"/>
          <w:divBdr>
            <w:top w:val="none" w:sz="0" w:space="0" w:color="auto"/>
            <w:left w:val="none" w:sz="0" w:space="0" w:color="auto"/>
            <w:bottom w:val="none" w:sz="0" w:space="0" w:color="auto"/>
            <w:right w:val="none" w:sz="0" w:space="0" w:color="auto"/>
          </w:divBdr>
        </w:div>
        <w:div w:id="1848864451">
          <w:marLeft w:val="0"/>
          <w:marRight w:val="0"/>
          <w:marTop w:val="0"/>
          <w:marBottom w:val="0"/>
          <w:divBdr>
            <w:top w:val="none" w:sz="0" w:space="0" w:color="auto"/>
            <w:left w:val="none" w:sz="0" w:space="0" w:color="auto"/>
            <w:bottom w:val="none" w:sz="0" w:space="0" w:color="auto"/>
            <w:right w:val="none" w:sz="0" w:space="0" w:color="auto"/>
          </w:divBdr>
          <w:divsChild>
            <w:div w:id="606617437">
              <w:marLeft w:val="0"/>
              <w:marRight w:val="0"/>
              <w:marTop w:val="30"/>
              <w:marBottom w:val="30"/>
              <w:divBdr>
                <w:top w:val="none" w:sz="0" w:space="0" w:color="auto"/>
                <w:left w:val="none" w:sz="0" w:space="0" w:color="auto"/>
                <w:bottom w:val="none" w:sz="0" w:space="0" w:color="auto"/>
                <w:right w:val="none" w:sz="0" w:space="0" w:color="auto"/>
              </w:divBdr>
              <w:divsChild>
                <w:div w:id="229850011">
                  <w:marLeft w:val="0"/>
                  <w:marRight w:val="0"/>
                  <w:marTop w:val="0"/>
                  <w:marBottom w:val="0"/>
                  <w:divBdr>
                    <w:top w:val="none" w:sz="0" w:space="0" w:color="auto"/>
                    <w:left w:val="none" w:sz="0" w:space="0" w:color="auto"/>
                    <w:bottom w:val="none" w:sz="0" w:space="0" w:color="auto"/>
                    <w:right w:val="none" w:sz="0" w:space="0" w:color="auto"/>
                  </w:divBdr>
                  <w:divsChild>
                    <w:div w:id="942344173">
                      <w:marLeft w:val="0"/>
                      <w:marRight w:val="0"/>
                      <w:marTop w:val="0"/>
                      <w:marBottom w:val="0"/>
                      <w:divBdr>
                        <w:top w:val="none" w:sz="0" w:space="0" w:color="auto"/>
                        <w:left w:val="none" w:sz="0" w:space="0" w:color="auto"/>
                        <w:bottom w:val="none" w:sz="0" w:space="0" w:color="auto"/>
                        <w:right w:val="none" w:sz="0" w:space="0" w:color="auto"/>
                      </w:divBdr>
                    </w:div>
                  </w:divsChild>
                </w:div>
                <w:div w:id="2031754048">
                  <w:marLeft w:val="0"/>
                  <w:marRight w:val="0"/>
                  <w:marTop w:val="0"/>
                  <w:marBottom w:val="0"/>
                  <w:divBdr>
                    <w:top w:val="none" w:sz="0" w:space="0" w:color="auto"/>
                    <w:left w:val="none" w:sz="0" w:space="0" w:color="auto"/>
                    <w:bottom w:val="none" w:sz="0" w:space="0" w:color="auto"/>
                    <w:right w:val="none" w:sz="0" w:space="0" w:color="auto"/>
                  </w:divBdr>
                  <w:divsChild>
                    <w:div w:id="817499338">
                      <w:marLeft w:val="0"/>
                      <w:marRight w:val="0"/>
                      <w:marTop w:val="0"/>
                      <w:marBottom w:val="0"/>
                      <w:divBdr>
                        <w:top w:val="none" w:sz="0" w:space="0" w:color="auto"/>
                        <w:left w:val="none" w:sz="0" w:space="0" w:color="auto"/>
                        <w:bottom w:val="none" w:sz="0" w:space="0" w:color="auto"/>
                        <w:right w:val="none" w:sz="0" w:space="0" w:color="auto"/>
                      </w:divBdr>
                    </w:div>
                    <w:div w:id="10480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2715">
      <w:bodyDiv w:val="1"/>
      <w:marLeft w:val="0"/>
      <w:marRight w:val="0"/>
      <w:marTop w:val="0"/>
      <w:marBottom w:val="0"/>
      <w:divBdr>
        <w:top w:val="none" w:sz="0" w:space="0" w:color="auto"/>
        <w:left w:val="none" w:sz="0" w:space="0" w:color="auto"/>
        <w:bottom w:val="none" w:sz="0" w:space="0" w:color="auto"/>
        <w:right w:val="none" w:sz="0" w:space="0" w:color="auto"/>
      </w:divBdr>
    </w:div>
    <w:div w:id="688868611">
      <w:bodyDiv w:val="1"/>
      <w:marLeft w:val="0"/>
      <w:marRight w:val="0"/>
      <w:marTop w:val="0"/>
      <w:marBottom w:val="0"/>
      <w:divBdr>
        <w:top w:val="none" w:sz="0" w:space="0" w:color="auto"/>
        <w:left w:val="none" w:sz="0" w:space="0" w:color="auto"/>
        <w:bottom w:val="none" w:sz="0" w:space="0" w:color="auto"/>
        <w:right w:val="none" w:sz="0" w:space="0" w:color="auto"/>
      </w:divBdr>
    </w:div>
    <w:div w:id="745033160">
      <w:bodyDiv w:val="1"/>
      <w:marLeft w:val="0"/>
      <w:marRight w:val="0"/>
      <w:marTop w:val="0"/>
      <w:marBottom w:val="0"/>
      <w:divBdr>
        <w:top w:val="none" w:sz="0" w:space="0" w:color="auto"/>
        <w:left w:val="none" w:sz="0" w:space="0" w:color="auto"/>
        <w:bottom w:val="none" w:sz="0" w:space="0" w:color="auto"/>
        <w:right w:val="none" w:sz="0" w:space="0" w:color="auto"/>
      </w:divBdr>
    </w:div>
    <w:div w:id="766585460">
      <w:bodyDiv w:val="1"/>
      <w:marLeft w:val="0"/>
      <w:marRight w:val="0"/>
      <w:marTop w:val="0"/>
      <w:marBottom w:val="0"/>
      <w:divBdr>
        <w:top w:val="none" w:sz="0" w:space="0" w:color="auto"/>
        <w:left w:val="none" w:sz="0" w:space="0" w:color="auto"/>
        <w:bottom w:val="none" w:sz="0" w:space="0" w:color="auto"/>
        <w:right w:val="none" w:sz="0" w:space="0" w:color="auto"/>
      </w:divBdr>
    </w:div>
    <w:div w:id="929582701">
      <w:bodyDiv w:val="1"/>
      <w:marLeft w:val="0"/>
      <w:marRight w:val="0"/>
      <w:marTop w:val="0"/>
      <w:marBottom w:val="0"/>
      <w:divBdr>
        <w:top w:val="none" w:sz="0" w:space="0" w:color="auto"/>
        <w:left w:val="none" w:sz="0" w:space="0" w:color="auto"/>
        <w:bottom w:val="none" w:sz="0" w:space="0" w:color="auto"/>
        <w:right w:val="none" w:sz="0" w:space="0" w:color="auto"/>
      </w:divBdr>
    </w:div>
    <w:div w:id="1098284108">
      <w:bodyDiv w:val="1"/>
      <w:marLeft w:val="0"/>
      <w:marRight w:val="0"/>
      <w:marTop w:val="0"/>
      <w:marBottom w:val="0"/>
      <w:divBdr>
        <w:top w:val="none" w:sz="0" w:space="0" w:color="auto"/>
        <w:left w:val="none" w:sz="0" w:space="0" w:color="auto"/>
        <w:bottom w:val="none" w:sz="0" w:space="0" w:color="auto"/>
        <w:right w:val="none" w:sz="0" w:space="0" w:color="auto"/>
      </w:divBdr>
    </w:div>
    <w:div w:id="1152409627">
      <w:bodyDiv w:val="1"/>
      <w:marLeft w:val="0"/>
      <w:marRight w:val="0"/>
      <w:marTop w:val="0"/>
      <w:marBottom w:val="0"/>
      <w:divBdr>
        <w:top w:val="none" w:sz="0" w:space="0" w:color="auto"/>
        <w:left w:val="none" w:sz="0" w:space="0" w:color="auto"/>
        <w:bottom w:val="none" w:sz="0" w:space="0" w:color="auto"/>
        <w:right w:val="none" w:sz="0" w:space="0" w:color="auto"/>
      </w:divBdr>
    </w:div>
    <w:div w:id="1162741292">
      <w:bodyDiv w:val="1"/>
      <w:marLeft w:val="0"/>
      <w:marRight w:val="0"/>
      <w:marTop w:val="0"/>
      <w:marBottom w:val="0"/>
      <w:divBdr>
        <w:top w:val="none" w:sz="0" w:space="0" w:color="auto"/>
        <w:left w:val="none" w:sz="0" w:space="0" w:color="auto"/>
        <w:bottom w:val="none" w:sz="0" w:space="0" w:color="auto"/>
        <w:right w:val="none" w:sz="0" w:space="0" w:color="auto"/>
      </w:divBdr>
    </w:div>
    <w:div w:id="1184629963">
      <w:bodyDiv w:val="1"/>
      <w:marLeft w:val="0"/>
      <w:marRight w:val="0"/>
      <w:marTop w:val="0"/>
      <w:marBottom w:val="0"/>
      <w:divBdr>
        <w:top w:val="none" w:sz="0" w:space="0" w:color="auto"/>
        <w:left w:val="none" w:sz="0" w:space="0" w:color="auto"/>
        <w:bottom w:val="none" w:sz="0" w:space="0" w:color="auto"/>
        <w:right w:val="none" w:sz="0" w:space="0" w:color="auto"/>
      </w:divBdr>
    </w:div>
    <w:div w:id="1231233669">
      <w:bodyDiv w:val="1"/>
      <w:marLeft w:val="0"/>
      <w:marRight w:val="0"/>
      <w:marTop w:val="0"/>
      <w:marBottom w:val="0"/>
      <w:divBdr>
        <w:top w:val="none" w:sz="0" w:space="0" w:color="auto"/>
        <w:left w:val="none" w:sz="0" w:space="0" w:color="auto"/>
        <w:bottom w:val="none" w:sz="0" w:space="0" w:color="auto"/>
        <w:right w:val="none" w:sz="0" w:space="0" w:color="auto"/>
      </w:divBdr>
    </w:div>
    <w:div w:id="1233463824">
      <w:bodyDiv w:val="1"/>
      <w:marLeft w:val="0"/>
      <w:marRight w:val="0"/>
      <w:marTop w:val="0"/>
      <w:marBottom w:val="0"/>
      <w:divBdr>
        <w:top w:val="none" w:sz="0" w:space="0" w:color="auto"/>
        <w:left w:val="none" w:sz="0" w:space="0" w:color="auto"/>
        <w:bottom w:val="none" w:sz="0" w:space="0" w:color="auto"/>
        <w:right w:val="none" w:sz="0" w:space="0" w:color="auto"/>
      </w:divBdr>
    </w:div>
    <w:div w:id="1235554713">
      <w:bodyDiv w:val="1"/>
      <w:marLeft w:val="0"/>
      <w:marRight w:val="0"/>
      <w:marTop w:val="0"/>
      <w:marBottom w:val="0"/>
      <w:divBdr>
        <w:top w:val="none" w:sz="0" w:space="0" w:color="auto"/>
        <w:left w:val="none" w:sz="0" w:space="0" w:color="auto"/>
        <w:bottom w:val="none" w:sz="0" w:space="0" w:color="auto"/>
        <w:right w:val="none" w:sz="0" w:space="0" w:color="auto"/>
      </w:divBdr>
      <w:divsChild>
        <w:div w:id="1008559620">
          <w:marLeft w:val="0"/>
          <w:marRight w:val="0"/>
          <w:marTop w:val="0"/>
          <w:marBottom w:val="0"/>
          <w:divBdr>
            <w:top w:val="none" w:sz="0" w:space="0" w:color="auto"/>
            <w:left w:val="none" w:sz="0" w:space="0" w:color="auto"/>
            <w:bottom w:val="none" w:sz="0" w:space="0" w:color="auto"/>
            <w:right w:val="none" w:sz="0" w:space="0" w:color="auto"/>
          </w:divBdr>
          <w:divsChild>
            <w:div w:id="1275360869">
              <w:marLeft w:val="0"/>
              <w:marRight w:val="0"/>
              <w:marTop w:val="30"/>
              <w:marBottom w:val="30"/>
              <w:divBdr>
                <w:top w:val="none" w:sz="0" w:space="0" w:color="auto"/>
                <w:left w:val="none" w:sz="0" w:space="0" w:color="auto"/>
                <w:bottom w:val="none" w:sz="0" w:space="0" w:color="auto"/>
                <w:right w:val="none" w:sz="0" w:space="0" w:color="auto"/>
              </w:divBdr>
              <w:divsChild>
                <w:div w:id="113714479">
                  <w:marLeft w:val="0"/>
                  <w:marRight w:val="0"/>
                  <w:marTop w:val="0"/>
                  <w:marBottom w:val="0"/>
                  <w:divBdr>
                    <w:top w:val="none" w:sz="0" w:space="0" w:color="auto"/>
                    <w:left w:val="none" w:sz="0" w:space="0" w:color="auto"/>
                    <w:bottom w:val="none" w:sz="0" w:space="0" w:color="auto"/>
                    <w:right w:val="none" w:sz="0" w:space="0" w:color="auto"/>
                  </w:divBdr>
                  <w:divsChild>
                    <w:div w:id="2087025626">
                      <w:marLeft w:val="0"/>
                      <w:marRight w:val="0"/>
                      <w:marTop w:val="0"/>
                      <w:marBottom w:val="0"/>
                      <w:divBdr>
                        <w:top w:val="none" w:sz="0" w:space="0" w:color="auto"/>
                        <w:left w:val="none" w:sz="0" w:space="0" w:color="auto"/>
                        <w:bottom w:val="none" w:sz="0" w:space="0" w:color="auto"/>
                        <w:right w:val="none" w:sz="0" w:space="0" w:color="auto"/>
                      </w:divBdr>
                    </w:div>
                  </w:divsChild>
                </w:div>
                <w:div w:id="489906220">
                  <w:marLeft w:val="0"/>
                  <w:marRight w:val="0"/>
                  <w:marTop w:val="0"/>
                  <w:marBottom w:val="0"/>
                  <w:divBdr>
                    <w:top w:val="none" w:sz="0" w:space="0" w:color="auto"/>
                    <w:left w:val="none" w:sz="0" w:space="0" w:color="auto"/>
                    <w:bottom w:val="none" w:sz="0" w:space="0" w:color="auto"/>
                    <w:right w:val="none" w:sz="0" w:space="0" w:color="auto"/>
                  </w:divBdr>
                  <w:divsChild>
                    <w:div w:id="325862492">
                      <w:marLeft w:val="0"/>
                      <w:marRight w:val="0"/>
                      <w:marTop w:val="0"/>
                      <w:marBottom w:val="0"/>
                      <w:divBdr>
                        <w:top w:val="none" w:sz="0" w:space="0" w:color="auto"/>
                        <w:left w:val="none" w:sz="0" w:space="0" w:color="auto"/>
                        <w:bottom w:val="none" w:sz="0" w:space="0" w:color="auto"/>
                        <w:right w:val="none" w:sz="0" w:space="0" w:color="auto"/>
                      </w:divBdr>
                    </w:div>
                  </w:divsChild>
                </w:div>
                <w:div w:id="653875199">
                  <w:marLeft w:val="0"/>
                  <w:marRight w:val="0"/>
                  <w:marTop w:val="0"/>
                  <w:marBottom w:val="0"/>
                  <w:divBdr>
                    <w:top w:val="none" w:sz="0" w:space="0" w:color="auto"/>
                    <w:left w:val="none" w:sz="0" w:space="0" w:color="auto"/>
                    <w:bottom w:val="none" w:sz="0" w:space="0" w:color="auto"/>
                    <w:right w:val="none" w:sz="0" w:space="0" w:color="auto"/>
                  </w:divBdr>
                  <w:divsChild>
                    <w:div w:id="1523858767">
                      <w:marLeft w:val="0"/>
                      <w:marRight w:val="0"/>
                      <w:marTop w:val="0"/>
                      <w:marBottom w:val="0"/>
                      <w:divBdr>
                        <w:top w:val="none" w:sz="0" w:space="0" w:color="auto"/>
                        <w:left w:val="none" w:sz="0" w:space="0" w:color="auto"/>
                        <w:bottom w:val="none" w:sz="0" w:space="0" w:color="auto"/>
                        <w:right w:val="none" w:sz="0" w:space="0" w:color="auto"/>
                      </w:divBdr>
                    </w:div>
                  </w:divsChild>
                </w:div>
                <w:div w:id="756563337">
                  <w:marLeft w:val="0"/>
                  <w:marRight w:val="0"/>
                  <w:marTop w:val="0"/>
                  <w:marBottom w:val="0"/>
                  <w:divBdr>
                    <w:top w:val="none" w:sz="0" w:space="0" w:color="auto"/>
                    <w:left w:val="none" w:sz="0" w:space="0" w:color="auto"/>
                    <w:bottom w:val="none" w:sz="0" w:space="0" w:color="auto"/>
                    <w:right w:val="none" w:sz="0" w:space="0" w:color="auto"/>
                  </w:divBdr>
                  <w:divsChild>
                    <w:div w:id="9534187">
                      <w:marLeft w:val="0"/>
                      <w:marRight w:val="0"/>
                      <w:marTop w:val="0"/>
                      <w:marBottom w:val="0"/>
                      <w:divBdr>
                        <w:top w:val="none" w:sz="0" w:space="0" w:color="auto"/>
                        <w:left w:val="none" w:sz="0" w:space="0" w:color="auto"/>
                        <w:bottom w:val="none" w:sz="0" w:space="0" w:color="auto"/>
                        <w:right w:val="none" w:sz="0" w:space="0" w:color="auto"/>
                      </w:divBdr>
                    </w:div>
                  </w:divsChild>
                </w:div>
                <w:div w:id="824472489">
                  <w:marLeft w:val="0"/>
                  <w:marRight w:val="0"/>
                  <w:marTop w:val="0"/>
                  <w:marBottom w:val="0"/>
                  <w:divBdr>
                    <w:top w:val="none" w:sz="0" w:space="0" w:color="auto"/>
                    <w:left w:val="none" w:sz="0" w:space="0" w:color="auto"/>
                    <w:bottom w:val="none" w:sz="0" w:space="0" w:color="auto"/>
                    <w:right w:val="none" w:sz="0" w:space="0" w:color="auto"/>
                  </w:divBdr>
                  <w:divsChild>
                    <w:div w:id="817915966">
                      <w:marLeft w:val="0"/>
                      <w:marRight w:val="0"/>
                      <w:marTop w:val="0"/>
                      <w:marBottom w:val="0"/>
                      <w:divBdr>
                        <w:top w:val="none" w:sz="0" w:space="0" w:color="auto"/>
                        <w:left w:val="none" w:sz="0" w:space="0" w:color="auto"/>
                        <w:bottom w:val="none" w:sz="0" w:space="0" w:color="auto"/>
                        <w:right w:val="none" w:sz="0" w:space="0" w:color="auto"/>
                      </w:divBdr>
                    </w:div>
                  </w:divsChild>
                </w:div>
                <w:div w:id="926814629">
                  <w:marLeft w:val="0"/>
                  <w:marRight w:val="0"/>
                  <w:marTop w:val="0"/>
                  <w:marBottom w:val="0"/>
                  <w:divBdr>
                    <w:top w:val="none" w:sz="0" w:space="0" w:color="auto"/>
                    <w:left w:val="none" w:sz="0" w:space="0" w:color="auto"/>
                    <w:bottom w:val="none" w:sz="0" w:space="0" w:color="auto"/>
                    <w:right w:val="none" w:sz="0" w:space="0" w:color="auto"/>
                  </w:divBdr>
                  <w:divsChild>
                    <w:div w:id="2141997509">
                      <w:marLeft w:val="0"/>
                      <w:marRight w:val="0"/>
                      <w:marTop w:val="0"/>
                      <w:marBottom w:val="0"/>
                      <w:divBdr>
                        <w:top w:val="none" w:sz="0" w:space="0" w:color="auto"/>
                        <w:left w:val="none" w:sz="0" w:space="0" w:color="auto"/>
                        <w:bottom w:val="none" w:sz="0" w:space="0" w:color="auto"/>
                        <w:right w:val="none" w:sz="0" w:space="0" w:color="auto"/>
                      </w:divBdr>
                    </w:div>
                  </w:divsChild>
                </w:div>
                <w:div w:id="932129697">
                  <w:marLeft w:val="0"/>
                  <w:marRight w:val="0"/>
                  <w:marTop w:val="0"/>
                  <w:marBottom w:val="0"/>
                  <w:divBdr>
                    <w:top w:val="none" w:sz="0" w:space="0" w:color="auto"/>
                    <w:left w:val="none" w:sz="0" w:space="0" w:color="auto"/>
                    <w:bottom w:val="none" w:sz="0" w:space="0" w:color="auto"/>
                    <w:right w:val="none" w:sz="0" w:space="0" w:color="auto"/>
                  </w:divBdr>
                  <w:divsChild>
                    <w:div w:id="608896065">
                      <w:marLeft w:val="0"/>
                      <w:marRight w:val="0"/>
                      <w:marTop w:val="0"/>
                      <w:marBottom w:val="0"/>
                      <w:divBdr>
                        <w:top w:val="none" w:sz="0" w:space="0" w:color="auto"/>
                        <w:left w:val="none" w:sz="0" w:space="0" w:color="auto"/>
                        <w:bottom w:val="none" w:sz="0" w:space="0" w:color="auto"/>
                        <w:right w:val="none" w:sz="0" w:space="0" w:color="auto"/>
                      </w:divBdr>
                    </w:div>
                  </w:divsChild>
                </w:div>
                <w:div w:id="989136706">
                  <w:marLeft w:val="0"/>
                  <w:marRight w:val="0"/>
                  <w:marTop w:val="0"/>
                  <w:marBottom w:val="0"/>
                  <w:divBdr>
                    <w:top w:val="none" w:sz="0" w:space="0" w:color="auto"/>
                    <w:left w:val="none" w:sz="0" w:space="0" w:color="auto"/>
                    <w:bottom w:val="none" w:sz="0" w:space="0" w:color="auto"/>
                    <w:right w:val="none" w:sz="0" w:space="0" w:color="auto"/>
                  </w:divBdr>
                  <w:divsChild>
                    <w:div w:id="1647659622">
                      <w:marLeft w:val="0"/>
                      <w:marRight w:val="0"/>
                      <w:marTop w:val="0"/>
                      <w:marBottom w:val="0"/>
                      <w:divBdr>
                        <w:top w:val="none" w:sz="0" w:space="0" w:color="auto"/>
                        <w:left w:val="none" w:sz="0" w:space="0" w:color="auto"/>
                        <w:bottom w:val="none" w:sz="0" w:space="0" w:color="auto"/>
                        <w:right w:val="none" w:sz="0" w:space="0" w:color="auto"/>
                      </w:divBdr>
                    </w:div>
                  </w:divsChild>
                </w:div>
                <w:div w:id="1019236498">
                  <w:marLeft w:val="0"/>
                  <w:marRight w:val="0"/>
                  <w:marTop w:val="0"/>
                  <w:marBottom w:val="0"/>
                  <w:divBdr>
                    <w:top w:val="none" w:sz="0" w:space="0" w:color="auto"/>
                    <w:left w:val="none" w:sz="0" w:space="0" w:color="auto"/>
                    <w:bottom w:val="none" w:sz="0" w:space="0" w:color="auto"/>
                    <w:right w:val="none" w:sz="0" w:space="0" w:color="auto"/>
                  </w:divBdr>
                  <w:divsChild>
                    <w:div w:id="1033531895">
                      <w:marLeft w:val="0"/>
                      <w:marRight w:val="0"/>
                      <w:marTop w:val="0"/>
                      <w:marBottom w:val="0"/>
                      <w:divBdr>
                        <w:top w:val="none" w:sz="0" w:space="0" w:color="auto"/>
                        <w:left w:val="none" w:sz="0" w:space="0" w:color="auto"/>
                        <w:bottom w:val="none" w:sz="0" w:space="0" w:color="auto"/>
                        <w:right w:val="none" w:sz="0" w:space="0" w:color="auto"/>
                      </w:divBdr>
                    </w:div>
                  </w:divsChild>
                </w:div>
                <w:div w:id="1407335738">
                  <w:marLeft w:val="0"/>
                  <w:marRight w:val="0"/>
                  <w:marTop w:val="0"/>
                  <w:marBottom w:val="0"/>
                  <w:divBdr>
                    <w:top w:val="none" w:sz="0" w:space="0" w:color="auto"/>
                    <w:left w:val="none" w:sz="0" w:space="0" w:color="auto"/>
                    <w:bottom w:val="none" w:sz="0" w:space="0" w:color="auto"/>
                    <w:right w:val="none" w:sz="0" w:space="0" w:color="auto"/>
                  </w:divBdr>
                  <w:divsChild>
                    <w:div w:id="845554309">
                      <w:marLeft w:val="0"/>
                      <w:marRight w:val="0"/>
                      <w:marTop w:val="0"/>
                      <w:marBottom w:val="0"/>
                      <w:divBdr>
                        <w:top w:val="none" w:sz="0" w:space="0" w:color="auto"/>
                        <w:left w:val="none" w:sz="0" w:space="0" w:color="auto"/>
                        <w:bottom w:val="none" w:sz="0" w:space="0" w:color="auto"/>
                        <w:right w:val="none" w:sz="0" w:space="0" w:color="auto"/>
                      </w:divBdr>
                    </w:div>
                  </w:divsChild>
                </w:div>
                <w:div w:id="1425033923">
                  <w:marLeft w:val="0"/>
                  <w:marRight w:val="0"/>
                  <w:marTop w:val="0"/>
                  <w:marBottom w:val="0"/>
                  <w:divBdr>
                    <w:top w:val="none" w:sz="0" w:space="0" w:color="auto"/>
                    <w:left w:val="none" w:sz="0" w:space="0" w:color="auto"/>
                    <w:bottom w:val="none" w:sz="0" w:space="0" w:color="auto"/>
                    <w:right w:val="none" w:sz="0" w:space="0" w:color="auto"/>
                  </w:divBdr>
                  <w:divsChild>
                    <w:div w:id="301350485">
                      <w:marLeft w:val="0"/>
                      <w:marRight w:val="0"/>
                      <w:marTop w:val="0"/>
                      <w:marBottom w:val="0"/>
                      <w:divBdr>
                        <w:top w:val="none" w:sz="0" w:space="0" w:color="auto"/>
                        <w:left w:val="none" w:sz="0" w:space="0" w:color="auto"/>
                        <w:bottom w:val="none" w:sz="0" w:space="0" w:color="auto"/>
                        <w:right w:val="none" w:sz="0" w:space="0" w:color="auto"/>
                      </w:divBdr>
                    </w:div>
                  </w:divsChild>
                </w:div>
                <w:div w:id="1508404221">
                  <w:marLeft w:val="0"/>
                  <w:marRight w:val="0"/>
                  <w:marTop w:val="0"/>
                  <w:marBottom w:val="0"/>
                  <w:divBdr>
                    <w:top w:val="none" w:sz="0" w:space="0" w:color="auto"/>
                    <w:left w:val="none" w:sz="0" w:space="0" w:color="auto"/>
                    <w:bottom w:val="none" w:sz="0" w:space="0" w:color="auto"/>
                    <w:right w:val="none" w:sz="0" w:space="0" w:color="auto"/>
                  </w:divBdr>
                  <w:divsChild>
                    <w:div w:id="16752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91361">
          <w:marLeft w:val="0"/>
          <w:marRight w:val="0"/>
          <w:marTop w:val="0"/>
          <w:marBottom w:val="0"/>
          <w:divBdr>
            <w:top w:val="none" w:sz="0" w:space="0" w:color="auto"/>
            <w:left w:val="none" w:sz="0" w:space="0" w:color="auto"/>
            <w:bottom w:val="none" w:sz="0" w:space="0" w:color="auto"/>
            <w:right w:val="none" w:sz="0" w:space="0" w:color="auto"/>
          </w:divBdr>
        </w:div>
      </w:divsChild>
    </w:div>
    <w:div w:id="1595044823">
      <w:bodyDiv w:val="1"/>
      <w:marLeft w:val="0"/>
      <w:marRight w:val="0"/>
      <w:marTop w:val="0"/>
      <w:marBottom w:val="0"/>
      <w:divBdr>
        <w:top w:val="none" w:sz="0" w:space="0" w:color="auto"/>
        <w:left w:val="none" w:sz="0" w:space="0" w:color="auto"/>
        <w:bottom w:val="none" w:sz="0" w:space="0" w:color="auto"/>
        <w:right w:val="none" w:sz="0" w:space="0" w:color="auto"/>
      </w:divBdr>
    </w:div>
    <w:div w:id="1737706455">
      <w:bodyDiv w:val="1"/>
      <w:marLeft w:val="0"/>
      <w:marRight w:val="0"/>
      <w:marTop w:val="0"/>
      <w:marBottom w:val="0"/>
      <w:divBdr>
        <w:top w:val="none" w:sz="0" w:space="0" w:color="auto"/>
        <w:left w:val="none" w:sz="0" w:space="0" w:color="auto"/>
        <w:bottom w:val="none" w:sz="0" w:space="0" w:color="auto"/>
        <w:right w:val="none" w:sz="0" w:space="0" w:color="auto"/>
      </w:divBdr>
    </w:div>
    <w:div w:id="1829444299">
      <w:bodyDiv w:val="1"/>
      <w:marLeft w:val="0"/>
      <w:marRight w:val="0"/>
      <w:marTop w:val="0"/>
      <w:marBottom w:val="0"/>
      <w:divBdr>
        <w:top w:val="none" w:sz="0" w:space="0" w:color="auto"/>
        <w:left w:val="none" w:sz="0" w:space="0" w:color="auto"/>
        <w:bottom w:val="none" w:sz="0" w:space="0" w:color="auto"/>
        <w:right w:val="none" w:sz="0" w:space="0" w:color="auto"/>
      </w:divBdr>
    </w:div>
    <w:div w:id="1897743157">
      <w:bodyDiv w:val="1"/>
      <w:marLeft w:val="0"/>
      <w:marRight w:val="0"/>
      <w:marTop w:val="0"/>
      <w:marBottom w:val="0"/>
      <w:divBdr>
        <w:top w:val="none" w:sz="0" w:space="0" w:color="auto"/>
        <w:left w:val="none" w:sz="0" w:space="0" w:color="auto"/>
        <w:bottom w:val="none" w:sz="0" w:space="0" w:color="auto"/>
        <w:right w:val="none" w:sz="0" w:space="0" w:color="auto"/>
      </w:divBdr>
    </w:div>
    <w:div w:id="1917593418">
      <w:bodyDiv w:val="1"/>
      <w:marLeft w:val="0"/>
      <w:marRight w:val="0"/>
      <w:marTop w:val="0"/>
      <w:marBottom w:val="0"/>
      <w:divBdr>
        <w:top w:val="none" w:sz="0" w:space="0" w:color="auto"/>
        <w:left w:val="none" w:sz="0" w:space="0" w:color="auto"/>
        <w:bottom w:val="none" w:sz="0" w:space="0" w:color="auto"/>
        <w:right w:val="none" w:sz="0" w:space="0" w:color="auto"/>
      </w:divBdr>
    </w:div>
    <w:div w:id="2010331428">
      <w:bodyDiv w:val="1"/>
      <w:marLeft w:val="0"/>
      <w:marRight w:val="0"/>
      <w:marTop w:val="0"/>
      <w:marBottom w:val="0"/>
      <w:divBdr>
        <w:top w:val="none" w:sz="0" w:space="0" w:color="auto"/>
        <w:left w:val="none" w:sz="0" w:space="0" w:color="auto"/>
        <w:bottom w:val="none" w:sz="0" w:space="0" w:color="auto"/>
        <w:right w:val="none" w:sz="0" w:space="0" w:color="auto"/>
      </w:divBdr>
    </w:div>
    <w:div w:id="2063476815">
      <w:bodyDiv w:val="1"/>
      <w:marLeft w:val="0"/>
      <w:marRight w:val="0"/>
      <w:marTop w:val="0"/>
      <w:marBottom w:val="0"/>
      <w:divBdr>
        <w:top w:val="none" w:sz="0" w:space="0" w:color="auto"/>
        <w:left w:val="none" w:sz="0" w:space="0" w:color="auto"/>
        <w:bottom w:val="none" w:sz="0" w:space="0" w:color="auto"/>
        <w:right w:val="none" w:sz="0" w:space="0" w:color="auto"/>
      </w:divBdr>
    </w:div>
    <w:div w:id="21178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ocuments\Brugerdefinerede%20Office-skabeloner\Cepos02.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'Forbrug 20-20'!$B$34</c:f>
              <c:strCache>
                <c:ptCount val="1"/>
                <c:pt idx="0">
                  <c:v>Privatforbrug</c:v>
                </c:pt>
              </c:strCache>
            </c:strRef>
          </c:tx>
          <c:spPr>
            <a:ln w="19050" cap="rnd">
              <a:solidFill>
                <a:srgbClr val="004874"/>
              </a:solidFill>
              <a:round/>
            </a:ln>
            <a:effectLst/>
          </c:spPr>
          <c:marker>
            <c:symbol val="none"/>
          </c:marker>
          <c:xVal>
            <c:numRef>
              <c:f>'Forbrug 20-20'!$J$31:$BM$31</c:f>
              <c:numCache>
                <c:formatCode>General</c:formatCode>
                <c:ptCount val="56"/>
                <c:pt idx="0">
                  <c:v>1910</c:v>
                </c:pt>
                <c:pt idx="1">
                  <c:v>1920</c:v>
                </c:pt>
                <c:pt idx="2">
                  <c:v>1930</c:v>
                </c:pt>
                <c:pt idx="3">
                  <c:v>1940</c:v>
                </c:pt>
                <c:pt idx="4">
                  <c:v>1950</c:v>
                </c:pt>
                <c:pt idx="5">
                  <c:v>1960</c:v>
                </c:pt>
                <c:pt idx="6">
                  <c:v>1970</c:v>
                </c:pt>
                <c:pt idx="7">
                  <c:v>1971</c:v>
                </c:pt>
                <c:pt idx="8">
                  <c:v>1972</c:v>
                </c:pt>
                <c:pt idx="9">
                  <c:v>1973</c:v>
                </c:pt>
                <c:pt idx="10">
                  <c:v>1974</c:v>
                </c:pt>
                <c:pt idx="11">
                  <c:v>1975</c:v>
                </c:pt>
                <c:pt idx="12">
                  <c:v>1976</c:v>
                </c:pt>
                <c:pt idx="13">
                  <c:v>1977</c:v>
                </c:pt>
                <c:pt idx="14">
                  <c:v>1978</c:v>
                </c:pt>
                <c:pt idx="15">
                  <c:v>1979</c:v>
                </c:pt>
                <c:pt idx="16">
                  <c:v>1980</c:v>
                </c:pt>
                <c:pt idx="17">
                  <c:v>1981</c:v>
                </c:pt>
                <c:pt idx="18">
                  <c:v>1982</c:v>
                </c:pt>
                <c:pt idx="19">
                  <c:v>1983</c:v>
                </c:pt>
                <c:pt idx="20">
                  <c:v>1984</c:v>
                </c:pt>
                <c:pt idx="21">
                  <c:v>1985</c:v>
                </c:pt>
                <c:pt idx="22">
                  <c:v>1986</c:v>
                </c:pt>
                <c:pt idx="23">
                  <c:v>1987</c:v>
                </c:pt>
                <c:pt idx="24">
                  <c:v>1988</c:v>
                </c:pt>
                <c:pt idx="25">
                  <c:v>1989</c:v>
                </c:pt>
                <c:pt idx="26">
                  <c:v>1990</c:v>
                </c:pt>
                <c:pt idx="27">
                  <c:v>1991</c:v>
                </c:pt>
                <c:pt idx="28">
                  <c:v>1992</c:v>
                </c:pt>
                <c:pt idx="29">
                  <c:v>1993</c:v>
                </c:pt>
                <c:pt idx="30">
                  <c:v>1994</c:v>
                </c:pt>
                <c:pt idx="31">
                  <c:v>1995</c:v>
                </c:pt>
                <c:pt idx="32">
                  <c:v>1996</c:v>
                </c:pt>
                <c:pt idx="33">
                  <c:v>1997</c:v>
                </c:pt>
                <c:pt idx="34">
                  <c:v>1998</c:v>
                </c:pt>
                <c:pt idx="35">
                  <c:v>1999</c:v>
                </c:pt>
                <c:pt idx="36">
                  <c:v>2000</c:v>
                </c:pt>
                <c:pt idx="37">
                  <c:v>2001</c:v>
                </c:pt>
                <c:pt idx="38">
                  <c:v>2002</c:v>
                </c:pt>
                <c:pt idx="39">
                  <c:v>2003</c:v>
                </c:pt>
                <c:pt idx="40">
                  <c:v>2004</c:v>
                </c:pt>
                <c:pt idx="41">
                  <c:v>2005</c:v>
                </c:pt>
                <c:pt idx="42">
                  <c:v>2006</c:v>
                </c:pt>
                <c:pt idx="43">
                  <c:v>2007</c:v>
                </c:pt>
                <c:pt idx="44">
                  <c:v>2008</c:v>
                </c:pt>
                <c:pt idx="45">
                  <c:v>2009</c:v>
                </c:pt>
                <c:pt idx="46">
                  <c:v>2010</c:v>
                </c:pt>
                <c:pt idx="47">
                  <c:v>2011</c:v>
                </c:pt>
                <c:pt idx="48">
                  <c:v>2012</c:v>
                </c:pt>
                <c:pt idx="49">
                  <c:v>2013</c:v>
                </c:pt>
                <c:pt idx="50">
                  <c:v>2014</c:v>
                </c:pt>
                <c:pt idx="51">
                  <c:v>2015</c:v>
                </c:pt>
                <c:pt idx="52">
                  <c:v>2016</c:v>
                </c:pt>
                <c:pt idx="53">
                  <c:v>2017</c:v>
                </c:pt>
                <c:pt idx="54">
                  <c:v>2018</c:v>
                </c:pt>
                <c:pt idx="55">
                  <c:v>2019</c:v>
                </c:pt>
              </c:numCache>
            </c:numRef>
          </c:xVal>
          <c:yVal>
            <c:numRef>
              <c:f>'Forbrug 20-20'!$J$30:$BM$30</c:f>
              <c:numCache>
                <c:formatCode>General</c:formatCode>
                <c:ptCount val="56"/>
                <c:pt idx="0">
                  <c:v>34546.162828386863</c:v>
                </c:pt>
                <c:pt idx="1">
                  <c:v>37869.482114595863</c:v>
                </c:pt>
                <c:pt idx="2">
                  <c:v>47615.936899710643</c:v>
                </c:pt>
                <c:pt idx="3">
                  <c:v>52540.196799355814</c:v>
                </c:pt>
                <c:pt idx="4">
                  <c:v>59322.293777772713</c:v>
                </c:pt>
                <c:pt idx="5">
                  <c:v>68942.021815696105</c:v>
                </c:pt>
                <c:pt idx="6">
                  <c:v>108742.88709709898</c:v>
                </c:pt>
                <c:pt idx="7">
                  <c:v>109475.20161290323</c:v>
                </c:pt>
                <c:pt idx="8">
                  <c:v>111367.48582230623</c:v>
                </c:pt>
                <c:pt idx="9">
                  <c:v>119118.68512110726</c:v>
                </c:pt>
                <c:pt idx="10">
                  <c:v>116081.32033008253</c:v>
                </c:pt>
                <c:pt idx="11">
                  <c:v>120486.24229979466</c:v>
                </c:pt>
                <c:pt idx="12">
                  <c:v>130189.4472361809</c:v>
                </c:pt>
                <c:pt idx="13">
                  <c:v>130404.18315432448</c:v>
                </c:pt>
                <c:pt idx="14">
                  <c:v>129850.35971223022</c:v>
                </c:pt>
                <c:pt idx="15">
                  <c:v>130778.9029535865</c:v>
                </c:pt>
                <c:pt idx="16">
                  <c:v>125311.10183639399</c:v>
                </c:pt>
                <c:pt idx="17">
                  <c:v>123823.90735898394</c:v>
                </c:pt>
                <c:pt idx="18">
                  <c:v>125924.49118046134</c:v>
                </c:pt>
                <c:pt idx="19">
                  <c:v>128133.31218274112</c:v>
                </c:pt>
                <c:pt idx="20">
                  <c:v>133484.77611940299</c:v>
                </c:pt>
                <c:pt idx="21">
                  <c:v>138033.53293413174</c:v>
                </c:pt>
                <c:pt idx="22">
                  <c:v>143677.88778877887</c:v>
                </c:pt>
                <c:pt idx="23">
                  <c:v>141509.57165520889</c:v>
                </c:pt>
                <c:pt idx="24">
                  <c:v>138261.06754363774</c:v>
                </c:pt>
                <c:pt idx="25">
                  <c:v>138635.4901014003</c:v>
                </c:pt>
                <c:pt idx="26">
                  <c:v>138253.21100917432</c:v>
                </c:pt>
                <c:pt idx="27">
                  <c:v>140720.74431426602</c:v>
                </c:pt>
                <c:pt idx="28">
                  <c:v>142439.05511811023</c:v>
                </c:pt>
                <c:pt idx="29">
                  <c:v>140540.4</c:v>
                </c:pt>
                <c:pt idx="30">
                  <c:v>150310.58823529413</c:v>
                </c:pt>
                <c:pt idx="31">
                  <c:v>151775.41613316262</c:v>
                </c:pt>
                <c:pt idx="32">
                  <c:v>153827.08463949844</c:v>
                </c:pt>
                <c:pt idx="33">
                  <c:v>157201.10429447851</c:v>
                </c:pt>
                <c:pt idx="34">
                  <c:v>159776.26506024096</c:v>
                </c:pt>
                <c:pt idx="35">
                  <c:v>158119.63166144199</c:v>
                </c:pt>
                <c:pt idx="36">
                  <c:v>158093.66076527699</c:v>
                </c:pt>
                <c:pt idx="37">
                  <c:v>157880.00743909244</c:v>
                </c:pt>
                <c:pt idx="38">
                  <c:v>158664.2091883058</c:v>
                </c:pt>
                <c:pt idx="39">
                  <c:v>158953.78868729988</c:v>
                </c:pt>
                <c:pt idx="40">
                  <c:v>165998.59328292598</c:v>
                </c:pt>
                <c:pt idx="41">
                  <c:v>171504.35233160621</c:v>
                </c:pt>
                <c:pt idx="42">
                  <c:v>176487.55932203389</c:v>
                </c:pt>
                <c:pt idx="43">
                  <c:v>178839.79336777204</c:v>
                </c:pt>
                <c:pt idx="44">
                  <c:v>177764.57695406929</c:v>
                </c:pt>
                <c:pt idx="45">
                  <c:v>170704.24685859709</c:v>
                </c:pt>
                <c:pt idx="46">
                  <c:v>171490.85820895524</c:v>
                </c:pt>
                <c:pt idx="47">
                  <c:v>170657.01316386746</c:v>
                </c:pt>
                <c:pt idx="48">
                  <c:v>170737.94326241134</c:v>
                </c:pt>
                <c:pt idx="49">
                  <c:v>170660.02052484974</c:v>
                </c:pt>
                <c:pt idx="50">
                  <c:v>171345.30612244899</c:v>
                </c:pt>
                <c:pt idx="51">
                  <c:v>173870.61384414454</c:v>
                </c:pt>
                <c:pt idx="52">
                  <c:v>176396.96048632218</c:v>
                </c:pt>
                <c:pt idx="53">
                  <c:v>178262.59301659989</c:v>
                </c:pt>
                <c:pt idx="54">
                  <c:v>182160.1703335699</c:v>
                </c:pt>
                <c:pt idx="55">
                  <c:v>185500</c:v>
                </c:pt>
              </c:numCache>
            </c:numRef>
          </c:yVal>
          <c:smooth val="0"/>
          <c:extLst>
            <c:ext xmlns:c16="http://schemas.microsoft.com/office/drawing/2014/chart" uri="{C3380CC4-5D6E-409C-BE32-E72D297353CC}">
              <c16:uniqueId val="{00000000-4684-421B-9A96-C0782BD82700}"/>
            </c:ext>
          </c:extLst>
        </c:ser>
        <c:ser>
          <c:idx val="1"/>
          <c:order val="1"/>
          <c:tx>
            <c:v>Samlet forbrug</c:v>
          </c:tx>
          <c:spPr>
            <a:ln w="19050" cap="rnd">
              <a:solidFill>
                <a:srgbClr val="D9D9D6">
                  <a:lumMod val="75000"/>
                </a:srgbClr>
              </a:solidFill>
              <a:round/>
            </a:ln>
            <a:effectLst/>
          </c:spPr>
          <c:marker>
            <c:symbol val="none"/>
          </c:marker>
          <c:xVal>
            <c:numRef>
              <c:f>'Forbrug 20-20'!$J$31:$BM$31</c:f>
              <c:numCache>
                <c:formatCode>General</c:formatCode>
                <c:ptCount val="56"/>
                <c:pt idx="0">
                  <c:v>1910</c:v>
                </c:pt>
                <c:pt idx="1">
                  <c:v>1920</c:v>
                </c:pt>
                <c:pt idx="2">
                  <c:v>1930</c:v>
                </c:pt>
                <c:pt idx="3">
                  <c:v>1940</c:v>
                </c:pt>
                <c:pt idx="4">
                  <c:v>1950</c:v>
                </c:pt>
                <c:pt idx="5">
                  <c:v>1960</c:v>
                </c:pt>
                <c:pt idx="6">
                  <c:v>1970</c:v>
                </c:pt>
                <c:pt idx="7">
                  <c:v>1971</c:v>
                </c:pt>
                <c:pt idx="8">
                  <c:v>1972</c:v>
                </c:pt>
                <c:pt idx="9">
                  <c:v>1973</c:v>
                </c:pt>
                <c:pt idx="10">
                  <c:v>1974</c:v>
                </c:pt>
                <c:pt idx="11">
                  <c:v>1975</c:v>
                </c:pt>
                <c:pt idx="12">
                  <c:v>1976</c:v>
                </c:pt>
                <c:pt idx="13">
                  <c:v>1977</c:v>
                </c:pt>
                <c:pt idx="14">
                  <c:v>1978</c:v>
                </c:pt>
                <c:pt idx="15">
                  <c:v>1979</c:v>
                </c:pt>
                <c:pt idx="16">
                  <c:v>1980</c:v>
                </c:pt>
                <c:pt idx="17">
                  <c:v>1981</c:v>
                </c:pt>
                <c:pt idx="18">
                  <c:v>1982</c:v>
                </c:pt>
                <c:pt idx="19">
                  <c:v>1983</c:v>
                </c:pt>
                <c:pt idx="20">
                  <c:v>1984</c:v>
                </c:pt>
                <c:pt idx="21">
                  <c:v>1985</c:v>
                </c:pt>
                <c:pt idx="22">
                  <c:v>1986</c:v>
                </c:pt>
                <c:pt idx="23">
                  <c:v>1987</c:v>
                </c:pt>
                <c:pt idx="24">
                  <c:v>1988</c:v>
                </c:pt>
                <c:pt idx="25">
                  <c:v>1989</c:v>
                </c:pt>
                <c:pt idx="26">
                  <c:v>1990</c:v>
                </c:pt>
                <c:pt idx="27">
                  <c:v>1991</c:v>
                </c:pt>
                <c:pt idx="28">
                  <c:v>1992</c:v>
                </c:pt>
                <c:pt idx="29">
                  <c:v>1993</c:v>
                </c:pt>
                <c:pt idx="30">
                  <c:v>1994</c:v>
                </c:pt>
                <c:pt idx="31">
                  <c:v>1995</c:v>
                </c:pt>
                <c:pt idx="32">
                  <c:v>1996</c:v>
                </c:pt>
                <c:pt idx="33">
                  <c:v>1997</c:v>
                </c:pt>
                <c:pt idx="34">
                  <c:v>1998</c:v>
                </c:pt>
                <c:pt idx="35">
                  <c:v>1999</c:v>
                </c:pt>
                <c:pt idx="36">
                  <c:v>2000</c:v>
                </c:pt>
                <c:pt idx="37">
                  <c:v>2001</c:v>
                </c:pt>
                <c:pt idx="38">
                  <c:v>2002</c:v>
                </c:pt>
                <c:pt idx="39">
                  <c:v>2003</c:v>
                </c:pt>
                <c:pt idx="40">
                  <c:v>2004</c:v>
                </c:pt>
                <c:pt idx="41">
                  <c:v>2005</c:v>
                </c:pt>
                <c:pt idx="42">
                  <c:v>2006</c:v>
                </c:pt>
                <c:pt idx="43">
                  <c:v>2007</c:v>
                </c:pt>
                <c:pt idx="44">
                  <c:v>2008</c:v>
                </c:pt>
                <c:pt idx="45">
                  <c:v>2009</c:v>
                </c:pt>
                <c:pt idx="46">
                  <c:v>2010</c:v>
                </c:pt>
                <c:pt idx="47">
                  <c:v>2011</c:v>
                </c:pt>
                <c:pt idx="48">
                  <c:v>2012</c:v>
                </c:pt>
                <c:pt idx="49">
                  <c:v>2013</c:v>
                </c:pt>
                <c:pt idx="50">
                  <c:v>2014</c:v>
                </c:pt>
                <c:pt idx="51">
                  <c:v>2015</c:v>
                </c:pt>
                <c:pt idx="52">
                  <c:v>2016</c:v>
                </c:pt>
                <c:pt idx="53">
                  <c:v>2017</c:v>
                </c:pt>
                <c:pt idx="54">
                  <c:v>2018</c:v>
                </c:pt>
                <c:pt idx="55">
                  <c:v>2019</c:v>
                </c:pt>
              </c:numCache>
            </c:numRef>
          </c:xVal>
          <c:yVal>
            <c:numRef>
              <c:f>'Forbrug 20-20'!$J$25:$BM$25</c:f>
              <c:numCache>
                <c:formatCode>General</c:formatCode>
                <c:ptCount val="56"/>
                <c:pt idx="0">
                  <c:v>37511.896458188021</c:v>
                </c:pt>
                <c:pt idx="1">
                  <c:v>42062.528521355824</c:v>
                </c:pt>
                <c:pt idx="2">
                  <c:v>52922.56557671578</c:v>
                </c:pt>
                <c:pt idx="3">
                  <c:v>59430.287102297625</c:v>
                </c:pt>
                <c:pt idx="4">
                  <c:v>67600.959253031382</c:v>
                </c:pt>
                <c:pt idx="5">
                  <c:v>82261.356194558568</c:v>
                </c:pt>
                <c:pt idx="6">
                  <c:v>124636.94153955871</c:v>
                </c:pt>
                <c:pt idx="7">
                  <c:v>152509.88805970151</c:v>
                </c:pt>
                <c:pt idx="8">
                  <c:v>154165.20522388059</c:v>
                </c:pt>
                <c:pt idx="9">
                  <c:v>161669.30970149254</c:v>
                </c:pt>
                <c:pt idx="10">
                  <c:v>159351.8656716418</c:v>
                </c:pt>
                <c:pt idx="11">
                  <c:v>161779.6641791045</c:v>
                </c:pt>
                <c:pt idx="12">
                  <c:v>171821.92164179106</c:v>
                </c:pt>
                <c:pt idx="13">
                  <c:v>174470.42910447766</c:v>
                </c:pt>
                <c:pt idx="14">
                  <c:v>179657.08955223882</c:v>
                </c:pt>
                <c:pt idx="15">
                  <c:v>183629.85074626867</c:v>
                </c:pt>
                <c:pt idx="16">
                  <c:v>182747.01492537314</c:v>
                </c:pt>
                <c:pt idx="17">
                  <c:v>183298.78731343287</c:v>
                </c:pt>
                <c:pt idx="18">
                  <c:v>187161.1940298508</c:v>
                </c:pt>
                <c:pt idx="19">
                  <c:v>189478.63805970151</c:v>
                </c:pt>
                <c:pt idx="20">
                  <c:v>192678.91791044781</c:v>
                </c:pt>
                <c:pt idx="21">
                  <c:v>199631.24999999997</c:v>
                </c:pt>
                <c:pt idx="22">
                  <c:v>209121.73507462686</c:v>
                </c:pt>
                <c:pt idx="23">
                  <c:v>206583.58208955225</c:v>
                </c:pt>
                <c:pt idx="24">
                  <c:v>203935.07462686568</c:v>
                </c:pt>
                <c:pt idx="25">
                  <c:v>203604.01119402985</c:v>
                </c:pt>
                <c:pt idx="26">
                  <c:v>203272.94776119405</c:v>
                </c:pt>
                <c:pt idx="27">
                  <c:v>206031.80970149254</c:v>
                </c:pt>
                <c:pt idx="28">
                  <c:v>209342.44402985077</c:v>
                </c:pt>
                <c:pt idx="29">
                  <c:v>210335.63432835822</c:v>
                </c:pt>
                <c:pt idx="30">
                  <c:v>220377.89179104479</c:v>
                </c:pt>
                <c:pt idx="31">
                  <c:v>223247.10820895524</c:v>
                </c:pt>
                <c:pt idx="32">
                  <c:v>227881.99626865672</c:v>
                </c:pt>
                <c:pt idx="33">
                  <c:v>231744.40298507464</c:v>
                </c:pt>
                <c:pt idx="34">
                  <c:v>236820.7089552239</c:v>
                </c:pt>
                <c:pt idx="35">
                  <c:v>238586.38059701494</c:v>
                </c:pt>
                <c:pt idx="36">
                  <c:v>240793.47014925376</c:v>
                </c:pt>
                <c:pt idx="37">
                  <c:v>241897.01492537319</c:v>
                </c:pt>
                <c:pt idx="38">
                  <c:v>245207.64925373136</c:v>
                </c:pt>
                <c:pt idx="39">
                  <c:v>246862.96641791047</c:v>
                </c:pt>
                <c:pt idx="40">
                  <c:v>254918.8432835821</c:v>
                </c:pt>
                <c:pt idx="41">
                  <c:v>261319.40298507464</c:v>
                </c:pt>
                <c:pt idx="42">
                  <c:v>267719.96268656722</c:v>
                </c:pt>
                <c:pt idx="43">
                  <c:v>270920.24253731343</c:v>
                </c:pt>
                <c:pt idx="44">
                  <c:v>273127.33208955225</c:v>
                </c:pt>
                <c:pt idx="45">
                  <c:v>268382.08955223882</c:v>
                </c:pt>
                <c:pt idx="46">
                  <c:v>270037.40671641793</c:v>
                </c:pt>
                <c:pt idx="47">
                  <c:v>268823.50746268657</c:v>
                </c:pt>
                <c:pt idx="48">
                  <c:v>269485.63432835822</c:v>
                </c:pt>
                <c:pt idx="49">
                  <c:v>268713.15298507462</c:v>
                </c:pt>
                <c:pt idx="50">
                  <c:v>270699.53358208959</c:v>
                </c:pt>
                <c:pt idx="51">
                  <c:v>274451.58582089556</c:v>
                </c:pt>
                <c:pt idx="52">
                  <c:v>276548.32089552243</c:v>
                </c:pt>
                <c:pt idx="53">
                  <c:v>278534.70149253734</c:v>
                </c:pt>
                <c:pt idx="54">
                  <c:v>282397.10820895527</c:v>
                </c:pt>
                <c:pt idx="55">
                  <c:v>286369.86940298509</c:v>
                </c:pt>
              </c:numCache>
            </c:numRef>
          </c:yVal>
          <c:smooth val="0"/>
          <c:extLst>
            <c:ext xmlns:c16="http://schemas.microsoft.com/office/drawing/2014/chart" uri="{C3380CC4-5D6E-409C-BE32-E72D297353CC}">
              <c16:uniqueId val="{00000001-4684-421B-9A96-C0782BD82700}"/>
            </c:ext>
          </c:extLst>
        </c:ser>
        <c:dLbls>
          <c:showLegendKey val="0"/>
          <c:showVal val="0"/>
          <c:showCatName val="0"/>
          <c:showSerName val="0"/>
          <c:showPercent val="0"/>
          <c:showBubbleSize val="0"/>
        </c:dLbls>
        <c:axId val="714742808"/>
        <c:axId val="714737232"/>
      </c:scatterChart>
      <c:valAx>
        <c:axId val="714742808"/>
        <c:scaling>
          <c:orientation val="minMax"/>
          <c:max val="2020"/>
          <c:min val="19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rgbClr val="323435"/>
            </a:solidFill>
            <a:round/>
          </a:ln>
          <a:effectLst/>
        </c:spPr>
        <c:txPr>
          <a:bodyPr rot="-60000000" spcFirstLastPara="1" vertOverflow="ellipsis" vert="horz" wrap="square" anchor="ctr" anchorCtr="1"/>
          <a:lstStyle/>
          <a:p>
            <a:pPr>
              <a:defRPr sz="900" b="0" i="0" u="none" strike="noStrike" kern="1200" baseline="0">
                <a:solidFill>
                  <a:schemeClr val="tx1"/>
                </a:solidFill>
                <a:latin typeface="Raleway" panose="020B0503030101060003" pitchFamily="34" charset="0"/>
                <a:ea typeface="+mn-ea"/>
                <a:cs typeface="+mn-cs"/>
              </a:defRPr>
            </a:pPr>
            <a:endParaRPr lang="da-DK"/>
          </a:p>
        </c:txPr>
        <c:crossAx val="714737232"/>
        <c:crosses val="autoZero"/>
        <c:crossBetween val="midCat"/>
      </c:valAx>
      <c:valAx>
        <c:axId val="714737232"/>
        <c:scaling>
          <c:orientation val="minMax"/>
          <c:max val="300000"/>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Raleway" panose="020B0503030101060003" pitchFamily="34" charset="0"/>
                    <a:ea typeface="+mn-ea"/>
                    <a:cs typeface="+mn-cs"/>
                  </a:defRPr>
                </a:pPr>
                <a:r>
                  <a:rPr lang="da-DK" b="1">
                    <a:latin typeface="Raleway" panose="020B0503030101060003" pitchFamily="34" charset="0"/>
                  </a:rPr>
                  <a:t>2019</a:t>
                </a:r>
                <a:r>
                  <a:rPr lang="da-DK" b="1" baseline="0">
                    <a:latin typeface="Raleway" panose="020B0503030101060003" pitchFamily="34" charset="0"/>
                  </a:rPr>
                  <a:t> kr.</a:t>
                </a:r>
                <a:endParaRPr lang="da-DK" b="1">
                  <a:latin typeface="Raleway" panose="020B0503030101060003" pitchFamily="34" charset="0"/>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Raleway" panose="020B0503030101060003" pitchFamily="34" charset="0"/>
                  <a:ea typeface="+mn-ea"/>
                  <a:cs typeface="+mn-cs"/>
                </a:defRPr>
              </a:pPr>
              <a:endParaRPr lang="da-DK"/>
            </a:p>
          </c:txPr>
        </c:title>
        <c:numFmt formatCode="General" sourceLinked="1"/>
        <c:majorTickMark val="out"/>
        <c:minorTickMark val="none"/>
        <c:tickLblPos val="nextTo"/>
        <c:spPr>
          <a:noFill/>
          <a:ln w="9525" cap="flat" cmpd="sng" algn="ctr">
            <a:solidFill>
              <a:srgbClr val="323435"/>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Raleway" panose="020B0503030101060003" pitchFamily="34" charset="0"/>
                <a:ea typeface="+mn-ea"/>
                <a:cs typeface="+mn-cs"/>
              </a:defRPr>
            </a:pPr>
            <a:endParaRPr lang="da-DK"/>
          </a:p>
        </c:txPr>
        <c:crossAx val="714742808"/>
        <c:crosses val="autoZero"/>
        <c:crossBetween val="midCat"/>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Raleway" panose="020B0503030101060003" pitchFamily="34" charset="0"/>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c:spPr>
  <c:txPr>
    <a:bodyPr/>
    <a:lstStyle/>
    <a:p>
      <a:pPr>
        <a:defRPr/>
      </a:pPr>
      <a:endParaRPr lang="da-DK"/>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US" b="1">
                <a:solidFill>
                  <a:srgbClr val="004874"/>
                </a:solidFill>
                <a:latin typeface="Raleway" panose="020B0503030101060003" pitchFamily="34" charset="0"/>
              </a:rPr>
              <a:t>Disponibel indkomstandel 1.-4. decil</a:t>
            </a:r>
          </a:p>
        </c:rich>
      </c:tx>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da-DK"/>
        </a:p>
      </c:txPr>
    </c:title>
    <c:autoTitleDeleted val="0"/>
    <c:plotArea>
      <c:layout/>
      <c:lineChart>
        <c:grouping val="standard"/>
        <c:varyColors val="0"/>
        <c:ser>
          <c:idx val="1"/>
          <c:order val="0"/>
          <c:tx>
            <c:v>Ækvivaleret</c:v>
          </c:tx>
          <c:spPr>
            <a:ln w="28575" cap="rnd">
              <a:solidFill>
                <a:schemeClr val="accent6">
                  <a:lumMod val="75000"/>
                </a:schemeClr>
              </a:solidFill>
              <a:round/>
            </a:ln>
            <a:effectLst/>
          </c:spPr>
          <c:marker>
            <c:symbol val="none"/>
          </c:marker>
          <c:val>
            <c:numRef>
              <c:f>Ækvivaleret!$E$27:$AK$27</c:f>
              <c:numCache>
                <c:formatCode>0.000</c:formatCode>
                <c:ptCount val="33"/>
                <c:pt idx="0">
                  <c:v>0.25603267903994154</c:v>
                </c:pt>
                <c:pt idx="1">
                  <c:v>0.25601323631423262</c:v>
                </c:pt>
                <c:pt idx="2">
                  <c:v>0.25729871671533133</c:v>
                </c:pt>
                <c:pt idx="3">
                  <c:v>0.25651401985014993</c:v>
                </c:pt>
                <c:pt idx="4">
                  <c:v>0.25837614117448737</c:v>
                </c:pt>
                <c:pt idx="5">
                  <c:v>0.2561094368055219</c:v>
                </c:pt>
                <c:pt idx="6">
                  <c:v>0.25454963837746836</c:v>
                </c:pt>
                <c:pt idx="7">
                  <c:v>0.25713000168074907</c:v>
                </c:pt>
                <c:pt idx="8">
                  <c:v>0.25827764183866697</c:v>
                </c:pt>
                <c:pt idx="9">
                  <c:v>0.25594411641994752</c:v>
                </c:pt>
                <c:pt idx="10">
                  <c:v>0.2531091686819561</c:v>
                </c:pt>
                <c:pt idx="11">
                  <c:v>0.25104601409196103</c:v>
                </c:pt>
                <c:pt idx="12">
                  <c:v>0.25281984413943948</c:v>
                </c:pt>
                <c:pt idx="13">
                  <c:v>0.25004421284183187</c:v>
                </c:pt>
                <c:pt idx="14">
                  <c:v>0.2490037821655911</c:v>
                </c:pt>
                <c:pt idx="15">
                  <c:v>0.25075970433447864</c:v>
                </c:pt>
                <c:pt idx="16">
                  <c:v>0.249895562110308</c:v>
                </c:pt>
                <c:pt idx="17">
                  <c:v>0.24684403963272455</c:v>
                </c:pt>
                <c:pt idx="18">
                  <c:v>0.24198641702129975</c:v>
                </c:pt>
                <c:pt idx="19">
                  <c:v>0.24017174658671597</c:v>
                </c:pt>
                <c:pt idx="20">
                  <c:v>0.23345468166701511</c:v>
                </c:pt>
                <c:pt idx="21">
                  <c:v>0.22477097571368282</c:v>
                </c:pt>
                <c:pt idx="22">
                  <c:v>0.23381278068620895</c:v>
                </c:pt>
                <c:pt idx="23">
                  <c:v>0.23216359127883049</c:v>
                </c:pt>
                <c:pt idx="24">
                  <c:v>0.23181439935933768</c:v>
                </c:pt>
                <c:pt idx="25" formatCode="General">
                  <c:v>0.23575567326784094</c:v>
                </c:pt>
                <c:pt idx="26" formatCode="General">
                  <c:v>0.23528650953418812</c:v>
                </c:pt>
                <c:pt idx="27">
                  <c:v>0.23483598012104517</c:v>
                </c:pt>
                <c:pt idx="28">
                  <c:v>0.23440299646488019</c:v>
                </c:pt>
                <c:pt idx="29">
                  <c:v>0.23398655317035755</c:v>
                </c:pt>
                <c:pt idx="30">
                  <c:v>0.2335857202164541</c:v>
                </c:pt>
                <c:pt idx="31">
                  <c:v>0.23319963602291305</c:v>
                </c:pt>
                <c:pt idx="32">
                  <c:v>0.23282750126823543</c:v>
                </c:pt>
              </c:numCache>
            </c:numRef>
          </c:val>
          <c:smooth val="0"/>
          <c:extLst>
            <c:ext xmlns:c16="http://schemas.microsoft.com/office/drawing/2014/chart" uri="{C3380CC4-5D6E-409C-BE32-E72D297353CC}">
              <c16:uniqueId val="{00000000-181F-45A9-9A68-15B16FAEB45B}"/>
            </c:ext>
          </c:extLst>
        </c:ser>
        <c:ser>
          <c:idx val="0"/>
          <c:order val="1"/>
          <c:tx>
            <c:v>Familier</c:v>
          </c:tx>
          <c:spPr>
            <a:ln w="28575" cap="rnd">
              <a:solidFill>
                <a:srgbClr val="004874"/>
              </a:solidFill>
              <a:round/>
            </a:ln>
            <a:effectLst/>
          </c:spPr>
          <c:marker>
            <c:symbol val="none"/>
          </c:marker>
          <c:cat>
            <c:numRef>
              <c:f>'Ikke ækvivaleret'!$G$18:$AM$18</c:f>
              <c:numCache>
                <c:formatCode>General</c:formatCode>
                <c:ptCount val="33"/>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numCache>
            </c:numRef>
          </c:cat>
          <c:val>
            <c:numRef>
              <c:f>'Ikke ækvivaleret'!$G$19:$AM$19</c:f>
              <c:numCache>
                <c:formatCode>0.000</c:formatCode>
                <c:ptCount val="33"/>
                <c:pt idx="0">
                  <c:v>0.20509765616394829</c:v>
                </c:pt>
                <c:pt idx="1">
                  <c:v>0.20298706902302638</c:v>
                </c:pt>
                <c:pt idx="2">
                  <c:v>0.20444984958999846</c:v>
                </c:pt>
                <c:pt idx="3">
                  <c:v>0.20086952391385632</c:v>
                </c:pt>
                <c:pt idx="4">
                  <c:v>0.20458569863587711</c:v>
                </c:pt>
                <c:pt idx="5">
                  <c:v>0.20178289311055708</c:v>
                </c:pt>
                <c:pt idx="6">
                  <c:v>0.20147112566427883</c:v>
                </c:pt>
                <c:pt idx="7">
                  <c:v>0.20153381338410317</c:v>
                </c:pt>
                <c:pt idx="8">
                  <c:v>0.20400883716717019</c:v>
                </c:pt>
                <c:pt idx="9">
                  <c:v>0.20432371701652033</c:v>
                </c:pt>
                <c:pt idx="10">
                  <c:v>0.20184262159170904</c:v>
                </c:pt>
                <c:pt idx="11">
                  <c:v>0.19995872193237377</c:v>
                </c:pt>
                <c:pt idx="12">
                  <c:v>0.20020450289444361</c:v>
                </c:pt>
                <c:pt idx="13">
                  <c:v>0.19838761635546928</c:v>
                </c:pt>
                <c:pt idx="14">
                  <c:v>0.19870855196674711</c:v>
                </c:pt>
                <c:pt idx="15">
                  <c:v>0.19916255813312614</c:v>
                </c:pt>
                <c:pt idx="16">
                  <c:v>0.19871865575103637</c:v>
                </c:pt>
                <c:pt idx="17">
                  <c:v>0.19260526351743976</c:v>
                </c:pt>
                <c:pt idx="18">
                  <c:v>0.18907794334986253</c:v>
                </c:pt>
                <c:pt idx="19">
                  <c:v>0.18731976013930779</c:v>
                </c:pt>
                <c:pt idx="20">
                  <c:v>0.18272554373691027</c:v>
                </c:pt>
                <c:pt idx="21">
                  <c:v>0.171699600487974</c:v>
                </c:pt>
                <c:pt idx="22">
                  <c:v>0.18100883101051818</c:v>
                </c:pt>
                <c:pt idx="23">
                  <c:v>0.1836199971259945</c:v>
                </c:pt>
                <c:pt idx="24">
                  <c:v>0.18375856604572638</c:v>
                </c:pt>
                <c:pt idx="25">
                  <c:v>0.18793012792167199</c:v>
                </c:pt>
                <c:pt idx="26">
                  <c:v>0.18657545728272037</c:v>
                </c:pt>
                <c:pt idx="27">
                  <c:v>0.18296742533032576</c:v>
                </c:pt>
                <c:pt idx="28">
                  <c:v>0.18290974797922013</c:v>
                </c:pt>
                <c:pt idx="29">
                  <c:v>0.17982098335250776</c:v>
                </c:pt>
                <c:pt idx="30">
                  <c:v>0.17030645637608532</c:v>
                </c:pt>
                <c:pt idx="31">
                  <c:v>0.17743345455458256</c:v>
                </c:pt>
                <c:pt idx="32">
                  <c:v>0.17729699301761287</c:v>
                </c:pt>
              </c:numCache>
            </c:numRef>
          </c:val>
          <c:smooth val="0"/>
          <c:extLst>
            <c:ext xmlns:c16="http://schemas.microsoft.com/office/drawing/2014/chart" uri="{C3380CC4-5D6E-409C-BE32-E72D297353CC}">
              <c16:uniqueId val="{00000001-181F-45A9-9A68-15B16FAEB45B}"/>
            </c:ext>
          </c:extLst>
        </c:ser>
        <c:dLbls>
          <c:showLegendKey val="0"/>
          <c:showVal val="0"/>
          <c:showCatName val="0"/>
          <c:showSerName val="0"/>
          <c:showPercent val="0"/>
          <c:showBubbleSize val="0"/>
        </c:dLbls>
        <c:smooth val="0"/>
        <c:axId val="704276600"/>
        <c:axId val="704267416"/>
      </c:lineChart>
      <c:catAx>
        <c:axId val="70427660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Raleway" panose="020B0503030101060003" pitchFamily="34" charset="0"/>
                <a:ea typeface="+mn-ea"/>
                <a:cs typeface="+mn-cs"/>
              </a:defRPr>
            </a:pPr>
            <a:endParaRPr lang="da-DK"/>
          </a:p>
        </c:txPr>
        <c:crossAx val="704267416"/>
        <c:crosses val="autoZero"/>
        <c:auto val="1"/>
        <c:lblAlgn val="ctr"/>
        <c:lblOffset val="100"/>
        <c:noMultiLvlLbl val="0"/>
      </c:catAx>
      <c:valAx>
        <c:axId val="704267416"/>
        <c:scaling>
          <c:orientation val="minMax"/>
          <c:min val="0.1"/>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Raleway" panose="020B0503030101060003" pitchFamily="34" charset="0"/>
                <a:ea typeface="+mn-ea"/>
                <a:cs typeface="+mn-cs"/>
              </a:defRPr>
            </a:pPr>
            <a:endParaRPr lang="da-DK"/>
          </a:p>
        </c:txPr>
        <c:crossAx val="704276600"/>
        <c:crosses val="autoZero"/>
        <c:crossBetween val="between"/>
      </c:valAx>
      <c:spPr>
        <a:noFill/>
        <a:ln>
          <a:noFill/>
        </a:ln>
        <a:effectLst/>
      </c:spPr>
    </c:plotArea>
    <c:legend>
      <c:legendPos val="r"/>
      <c:overlay val="0"/>
      <c:spPr>
        <a:noFill/>
        <a:ln>
          <a:noFill/>
        </a:ln>
        <a:effectLst/>
      </c:spPr>
      <c:txPr>
        <a:bodyPr rot="60000" spcFirstLastPara="1" vertOverflow="ellipsis" wrap="square" anchor="ctr" anchorCtr="0"/>
        <a:lstStyle/>
        <a:p>
          <a:pPr>
            <a:defRPr sz="900" b="0" i="0" u="none" strike="noStrike" kern="1200" baseline="0">
              <a:ln>
                <a:noFill/>
              </a:ln>
              <a:solidFill>
                <a:schemeClr val="tx1"/>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bg1"/>
      </a:solidFill>
      <a:round/>
    </a:ln>
    <a:effectLst/>
  </c:spPr>
  <c:txPr>
    <a:bodyPr/>
    <a:lstStyle/>
    <a:p>
      <a:pPr>
        <a:defRPr>
          <a:ln>
            <a:noFill/>
          </a:ln>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ontortema">
  <a:themeElements>
    <a:clrScheme name="CEPOS2">
      <a:dk1>
        <a:srgbClr val="323435"/>
      </a:dk1>
      <a:lt1>
        <a:sysClr val="window" lastClr="FFFFFF"/>
      </a:lt1>
      <a:dk2>
        <a:srgbClr val="003865"/>
      </a:dk2>
      <a:lt2>
        <a:srgbClr val="FFFFFF"/>
      </a:lt2>
      <a:accent1>
        <a:srgbClr val="003865"/>
      </a:accent1>
      <a:accent2>
        <a:srgbClr val="BCA9A0"/>
      </a:accent2>
      <a:accent3>
        <a:srgbClr val="006341"/>
      </a:accent3>
      <a:accent4>
        <a:srgbClr val="B9B9B3"/>
      </a:accent4>
      <a:accent5>
        <a:srgbClr val="8B8B81"/>
      </a:accent5>
      <a:accent6>
        <a:srgbClr val="D9D9D6"/>
      </a:accent6>
      <a:hlink>
        <a:srgbClr val="BCA9A0"/>
      </a:hlink>
      <a:folHlink>
        <a:srgbClr val="003865"/>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2021-11-30T00:00:00</PublishDate>
  <Abstract/>
  <CompanyAddress/>
  <CompanyPhone>+45 21 23 79 52</CompanyPhone>
  <CompanyFax/>
  <CompanyEmail>mads@cepos.dk</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4678A55A8841419609DB9A67A922E3" ma:contentTypeVersion="12" ma:contentTypeDescription="Opret et nyt dokument." ma:contentTypeScope="" ma:versionID="47f64d33052d03db76f40ff8dd2af5a3">
  <xsd:schema xmlns:xsd="http://www.w3.org/2001/XMLSchema" xmlns:xs="http://www.w3.org/2001/XMLSchema" xmlns:p="http://schemas.microsoft.com/office/2006/metadata/properties" xmlns:ns2="b9026cd5-e387-4bc3-80c7-befc6aae2729" xmlns:ns3="2e4014e2-c2ef-4471-9e12-3a6f874bbbc5" targetNamespace="http://schemas.microsoft.com/office/2006/metadata/properties" ma:root="true" ma:fieldsID="6d5b8e17be1bcc8d5d34fdc19ce2c81c" ns2:_="" ns3:_="">
    <xsd:import namespace="b9026cd5-e387-4bc3-80c7-befc6aae2729"/>
    <xsd:import namespace="2e4014e2-c2ef-4471-9e12-3a6f874bb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26cd5-e387-4bc3-80c7-befc6aae2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014e2-c2ef-4471-9e12-3a6f874bbbc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481AFA-B9D8-4332-95D8-45DC9764B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26cd5-e387-4bc3-80c7-befc6aae2729"/>
    <ds:schemaRef ds:uri="2e4014e2-c2ef-4471-9e12-3a6f874bb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5236B-A493-4388-BDFE-CB5290787685}">
  <ds:schemaRefs>
    <ds:schemaRef ds:uri="http://schemas.openxmlformats.org/officeDocument/2006/bibliography"/>
  </ds:schemaRefs>
</ds:datastoreItem>
</file>

<file path=customXml/itemProps4.xml><?xml version="1.0" encoding="utf-8"?>
<ds:datastoreItem xmlns:ds="http://schemas.openxmlformats.org/officeDocument/2006/customXml" ds:itemID="{CDC0362E-B8E2-46ED-9A37-09ADCD0789B6}">
  <ds:schemaRefs>
    <ds:schemaRef ds:uri="http://schemas.microsoft.com/sharepoint/v3/contenttype/forms"/>
  </ds:schemaRefs>
</ds:datastoreItem>
</file>

<file path=customXml/itemProps5.xml><?xml version="1.0" encoding="utf-8"?>
<ds:datastoreItem xmlns:ds="http://schemas.openxmlformats.org/officeDocument/2006/customXml" ds:itemID="{A96E30F2-AB92-4B3C-9BE9-696E770591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Cepos02</Template>
  <TotalTime>28</TotalTime>
  <Pages>9</Pages>
  <Words>3698</Words>
  <Characters>22559</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Uden økonomisk vækst ville lavindkomsternes vækst i levestandard gennem 100 år have været mindre end en tiendedel af den faktiske</vt:lpstr>
    </vt:vector>
  </TitlesOfParts>
  <Company/>
  <LinksUpToDate>false</LinksUpToDate>
  <CharactersWithSpaces>26205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Uden økonomisk vækst ville lavindkomsternes vækst i levestandard gennem 100 år have været mindre end en tiendedel af den faktiske</dc:title>
  <dc:subject/>
  <dc:creator>Otto Brøns-Petersen (20928440)</dc:creator>
  <cp:keywords/>
  <dc:description/>
  <cp:lastModifiedBy>Anker Poulsen  | CEPOS |</cp:lastModifiedBy>
  <cp:revision>6</cp:revision>
  <cp:lastPrinted>2021-09-20T09:50:00Z</cp:lastPrinted>
  <dcterms:created xsi:type="dcterms:W3CDTF">2021-11-29T11:32:00Z</dcterms:created>
  <dcterms:modified xsi:type="dcterms:W3CDTF">2021-11-29T12:00:00Z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="automaticJournalAbbreviations" value="true"/&gt;&lt;/prefs&gt;&lt;/data&gt;</vt:lpwstr>
  </property>
  <property fmtid="{D5CDD505-2E9C-101B-9397-08002B2CF9AE}" pid="3" name="ContentTypeId">
    <vt:lpwstr>0x0101007E4678A55A8841419609DB9A67A922E3</vt:lpwstr>
  </property>
  <property fmtid="{D5CDD505-2E9C-101B-9397-08002B2CF9AE}" pid="4" name="ZOTERO_PREF_1">
    <vt:lpwstr>&lt;data data-version="3" zotero-version="5.0.94"&gt;&lt;session id="ghyDs3uS"/&gt;&lt;style id="http://www.zotero.org/styles/chicago-author-date" locale="da-DK" hasBibliography="1" bibliographyStyleHasBeenSet="1"/&gt;&lt;prefs&gt;&lt;pref name="fieldType" value="Field"/&gt;&lt;pref name</vt:lpwstr>
  </property>
</Properties>
</file>